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A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F2B67" w:rsidRDefault="009F2B67" w:rsidP="009F2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 w:rsidRPr="009F2B67"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B9579C" w:rsidRDefault="00B9579C" w:rsidP="00B9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9579C" w:rsidRDefault="00B9579C" w:rsidP="00B95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9F2B67" w:rsidRPr="00E70492" w:rsidRDefault="009F2B67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9F2B67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9F2B67" w:rsidRPr="00E70492" w:rsidRDefault="00A4725C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(352240, Россия, Краснодарский край, г.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Новокубанск, ул.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9F2B67" w:rsidRPr="0010507F" w:rsidRDefault="0010507F" w:rsidP="001050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(352240, Россия, Краснодарский край, г.Новокубанск,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admgornovokub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0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, тел.: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8619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4725C"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31980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</w:tcPr>
          <w:p w:rsidR="009F2B67" w:rsidRPr="00464882" w:rsidRDefault="00A4725C" w:rsidP="00C03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Новокубанского городского поселения Новокубанского района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36A2"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  <w:r w:rsidR="00047D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0507F"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B1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036A2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9F2B67" w:rsidRPr="00464882" w:rsidRDefault="00047D82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сентября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09:00 (по московскому времени)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09 октября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 w:rsidRPr="004648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>17:00 (по московскому времени)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558" w:type="dxa"/>
          </w:tcPr>
          <w:p w:rsidR="009F2B67" w:rsidRPr="00464882" w:rsidRDefault="00047D82" w:rsidP="004C3B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7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9F2B67" w:rsidRPr="00464882" w:rsidRDefault="00047D82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D55305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D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25C" w:rsidRPr="00464882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990426" w:rsidTr="00E06F0C">
        <w:tc>
          <w:tcPr>
            <w:tcW w:w="659" w:type="dxa"/>
          </w:tcPr>
          <w:p w:rsidR="00990426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990426" w:rsidRPr="00E70492" w:rsidRDefault="0063426B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6B">
              <w:rPr>
                <w:rFonts w:ascii="Times New Roman" w:hAnsi="Times New Roman" w:cs="Times New Roman"/>
                <w:sz w:val="24"/>
                <w:szCs w:val="24"/>
              </w:rPr>
              <w:t>Окончательная дата зачисления задатков</w:t>
            </w:r>
          </w:p>
        </w:tc>
        <w:tc>
          <w:tcPr>
            <w:tcW w:w="6558" w:type="dxa"/>
          </w:tcPr>
          <w:p w:rsidR="00990426" w:rsidRPr="00464882" w:rsidRDefault="00047D82" w:rsidP="00054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D82">
              <w:rPr>
                <w:rFonts w:ascii="Times New Roman" w:hAnsi="Times New Roman" w:cs="Times New Roman"/>
                <w:sz w:val="24"/>
                <w:szCs w:val="24"/>
              </w:rPr>
              <w:t>09 октября 2023</w:t>
            </w:r>
          </w:p>
        </w:tc>
      </w:tr>
      <w:tr w:rsidR="0038332F" w:rsidTr="00E06F0C">
        <w:tc>
          <w:tcPr>
            <w:tcW w:w="659" w:type="dxa"/>
          </w:tcPr>
          <w:p w:rsidR="0038332F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</w:tcPr>
          <w:p w:rsidR="0038332F" w:rsidRPr="0063426B" w:rsidRDefault="0038332F" w:rsidP="00383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38332F" w:rsidRPr="00E70492" w:rsidRDefault="00F6312E" w:rsidP="0078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электронного аукциона могут быть </w:t>
            </w:r>
            <w:r w:rsidR="00F66C21" w:rsidRPr="00F66C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A4725C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участка: </w:t>
            </w:r>
            <w:r w:rsidR="0095432E" w:rsidRPr="0095432E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Российская Федерация, Краснодарский край, Новокубанский район, Новокубанское городское поселение, город Новокубанск, улица Азовская, 5/1</w:t>
            </w:r>
            <w:r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  <w:r w:rsidR="00B7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2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BD2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пунктов;</w:t>
            </w:r>
          </w:p>
          <w:p w:rsidR="00A4725C" w:rsidRPr="00E70492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участка: </w:t>
            </w:r>
            <w:r w:rsidR="0095432E" w:rsidRPr="0095432E">
              <w:rPr>
                <w:rFonts w:ascii="Times New Roman" w:hAnsi="Times New Roman" w:cs="Times New Roman"/>
                <w:sz w:val="24"/>
                <w:szCs w:val="24"/>
              </w:rPr>
              <w:t>23:21:0401013:3321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B67" w:rsidRPr="004C3BA0" w:rsidRDefault="00A4725C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участка: </w:t>
            </w:r>
            <w:r w:rsidR="00DF4FDF" w:rsidRPr="00DF4FD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="00B7675D" w:rsidRPr="004C3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6AD3" w:rsidRPr="00E70492" w:rsidRDefault="00786AD3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права: государственная собственность не разграничена.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9F2B67" w:rsidRPr="00464882" w:rsidRDefault="00DF4FDF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</w:t>
            </w:r>
          </w:p>
        </w:tc>
        <w:tc>
          <w:tcPr>
            <w:tcW w:w="6558" w:type="dxa"/>
          </w:tcPr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Согласно Приказа Кубанского БВУ № 79 -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>пр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  <w:u w:val="single"/>
              </w:rPr>
              <w:t xml:space="preserve"> от 11.06.2021 г., данный земельный участок расположен в границе зоны затопления, при половодьях и паводках                         р. Кубань 1% обеспеченности.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1)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предпаводковые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и послепаводковые обследования территорий, подверженных негативному воздействию вод, и водных объектов;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2) ледокольные, ледорезные и иные работы по ослаблению прочности льда и ликвидации ледовых заторов;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3) восстановление пропускной способности русел рек (дноуглубление и спрямление русел рек, расчистка водных объектов);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4)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уполаживание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границах зон затопления, подтопления запрещаются: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2) использование сточных вод в целях повышения почвенного плодородия;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4) осуществление авиационных мер по борьбе с вредными организмами.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 xml:space="preserve">Инженерная защита территорий и объектов от негативного воздействия вод (строительство </w:t>
            </w:r>
            <w:proofErr w:type="spellStart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водоограждающих</w:t>
            </w:r>
            <w:proofErr w:type="spellEnd"/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В целях обеспечения требований пункта 1 части 6 статьи 67.1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 года № 384-ФЗ «Технический регламент о безопасности зданий и сооружений».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Перечень мероприятий, которые проводятся застройщиком в целях получения разрешительной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 xml:space="preserve">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Подготовка застройщиком проектной документации, содержащей перечень мероприятий по инженерной защите объекта капитального строительства от затопления, подтопления,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 5.5.2 настоящей части.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5.5.2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 объектов капитального строительства.</w:t>
            </w:r>
          </w:p>
          <w:p w:rsidR="00882DE7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5.6.2 настоящей части.</w:t>
            </w:r>
          </w:p>
          <w:p w:rsidR="00560BF9" w:rsidRPr="00882DE7" w:rsidRDefault="00882DE7" w:rsidP="00882DE7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5.6.2 настоящей части, и подписанного застройщиком и лицом, </w:t>
            </w:r>
            <w:r w:rsidRP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lastRenderedPageBreak/>
              <w:t>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 (в размере ежегодной арендной платы)</w:t>
            </w:r>
          </w:p>
        </w:tc>
        <w:tc>
          <w:tcPr>
            <w:tcW w:w="6558" w:type="dxa"/>
          </w:tcPr>
          <w:p w:rsidR="009F2B67" w:rsidRPr="00E70492" w:rsidRDefault="0095432E" w:rsidP="00471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310 396 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3D0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3EF" w:rsidRPr="005623EF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  <w:r w:rsidR="005623EF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проведению торгов (конкурсов, аукционов)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или права на заключение договора аренды таких земельных участков </w:t>
            </w:r>
            <w:r w:rsidR="004C3BA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  <w:r w:rsidR="007829CD" w:rsidRPr="00820DDA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 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5BD2" w:rsidRPr="00820D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5E5BD2" w:rsidRPr="00E70492" w:rsidRDefault="0095432E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9 311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D0F2A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(в пределах 3%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5E5BD2" w:rsidRPr="00E70492" w:rsidRDefault="0095432E" w:rsidP="00B76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32E">
              <w:rPr>
                <w:rFonts w:ascii="Times New Roman" w:hAnsi="Times New Roman" w:cs="Times New Roman"/>
                <w:sz w:val="24"/>
                <w:szCs w:val="24"/>
              </w:rPr>
              <w:t xml:space="preserve">310 396 </w:t>
            </w:r>
            <w:r w:rsidR="00B7675D" w:rsidRPr="00E7049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88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DE7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  <w:r w:rsidR="00B7675D"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BD2" w:rsidRPr="00E70492">
              <w:rPr>
                <w:rFonts w:ascii="Times New Roman" w:hAnsi="Times New Roman" w:cs="Times New Roman"/>
                <w:sz w:val="24"/>
                <w:szCs w:val="24"/>
              </w:rPr>
              <w:t>(100% от начальной цены)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4" w:type="dxa"/>
          </w:tcPr>
          <w:p w:rsidR="009F2B67" w:rsidRPr="00E70492" w:rsidRDefault="00786AD3" w:rsidP="00786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7F3921" w:rsidRPr="003A599D" w:rsidRDefault="007F3921" w:rsidP="007F3921">
            <w:pPr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</w:pP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Подключение к электрическим сетям филиала АО «</w:t>
            </w:r>
            <w:r w:rsidR="00F6312E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Электросети Кубани» «Новокубанскэлектросеть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» может быть осуществлено на основании Постановления Правительства РФ от 27.12.2004 года № 861 при выполнении определенных технических условий. Объем свободной мощности для присоединения на ближайшей </w:t>
            </w:r>
            <w:r w:rsidR="004114F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Г</w:t>
            </w:r>
            <w:r w:rsidR="003D0F2A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К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ТП-</w:t>
            </w:r>
            <w:r w:rsidR="00882DE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6</w:t>
            </w:r>
            <w:r w:rsidR="004114F7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>0</w:t>
            </w:r>
            <w:r w:rsidRPr="003A599D">
              <w:rPr>
                <w:rFonts w:ascii="Times New Roman" w:hAnsi="Times New Roman" w:cs="Times New Roman"/>
                <w:spacing w:val="4"/>
                <w:w w:val="101"/>
                <w:sz w:val="24"/>
                <w:szCs w:val="24"/>
              </w:rPr>
              <w:t xml:space="preserve"> составляет 0 кВт. </w:t>
            </w:r>
          </w:p>
          <w:p w:rsidR="00FC3E0E" w:rsidRPr="003D0F2A" w:rsidRDefault="0095432E" w:rsidP="00882DE7">
            <w:pPr>
              <w:pStyle w:val="20"/>
              <w:shd w:val="clear" w:color="auto" w:fill="auto"/>
              <w:spacing w:after="0" w:line="254" w:lineRule="exact"/>
              <w:jc w:val="both"/>
              <w:rPr>
                <w:rStyle w:val="210pt"/>
              </w:rPr>
            </w:pPr>
            <w:r>
              <w:rPr>
                <w:rFonts w:eastAsiaTheme="minorHAnsi"/>
                <w:spacing w:val="4"/>
                <w:w w:val="101"/>
                <w:sz w:val="24"/>
                <w:szCs w:val="24"/>
              </w:rPr>
              <w:t>Т</w:t>
            </w:r>
            <w:r w:rsidR="00FC3E0E" w:rsidRPr="005623EF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ехническая возможность подключения к сетям газораспределения </w:t>
            </w:r>
            <w:r w:rsidR="00882DE7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имеется при условии строительства сетей газораспределения. Срок подключения </w:t>
            </w:r>
            <w:r w:rsidR="005E00B0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объекта капитального строительства к сетям инженерно-технического обеспечения </w:t>
            </w:r>
            <w:r w:rsidR="00882DE7">
              <w:rPr>
                <w:rFonts w:eastAsiaTheme="minorHAnsi"/>
                <w:spacing w:val="4"/>
                <w:w w:val="101"/>
                <w:sz w:val="24"/>
                <w:szCs w:val="24"/>
              </w:rPr>
              <w:t>определяется в соответствии с п. 53 Правил, утвержденных постановлением Правительства РФ от 13.09.2021 г. № 1547.</w:t>
            </w:r>
            <w:r w:rsidR="00F9560B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</w:t>
            </w:r>
            <w:r w:rsidR="003D0F2A">
              <w:rPr>
                <w:rFonts w:eastAsiaTheme="minorHAnsi"/>
                <w:spacing w:val="4"/>
                <w:w w:val="101"/>
                <w:sz w:val="24"/>
                <w:szCs w:val="24"/>
              </w:rPr>
              <w:t>Максимальная нагрузка на сеть до 7 м</w:t>
            </w:r>
            <w:r w:rsidR="003D0F2A">
              <w:rPr>
                <w:rFonts w:eastAsiaTheme="minorHAnsi"/>
                <w:spacing w:val="4"/>
                <w:w w:val="101"/>
                <w:sz w:val="24"/>
                <w:szCs w:val="24"/>
                <w:vertAlign w:val="superscript"/>
              </w:rPr>
              <w:t>3</w:t>
            </w:r>
            <w:r w:rsidR="003D0F2A">
              <w:rPr>
                <w:rFonts w:eastAsiaTheme="minorHAnsi"/>
                <w:spacing w:val="4"/>
                <w:w w:val="101"/>
                <w:sz w:val="24"/>
                <w:szCs w:val="24"/>
              </w:rPr>
              <w:t>.</w:t>
            </w:r>
            <w:r w:rsidR="005E00B0">
              <w:rPr>
                <w:rFonts w:eastAsiaTheme="minorHAnsi"/>
                <w:spacing w:val="4"/>
                <w:w w:val="101"/>
                <w:sz w:val="24"/>
                <w:szCs w:val="24"/>
              </w:rPr>
              <w:t xml:space="preserve"> Срок действия технических условий и плата за подключение (технологическое присоединение) определяется согласно приказа № 36/2022-газ от 28.12.2002 г. РЭК-департамент цен и тарифов Краснодарского края.</w:t>
            </w:r>
          </w:p>
          <w:p w:rsidR="005E00B0" w:rsidRDefault="005E00B0" w:rsidP="00F9560B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</w:t>
            </w:r>
            <w:r w:rsidR="00F6312E">
              <w:rPr>
                <w:sz w:val="24"/>
                <w:szCs w:val="24"/>
              </w:rPr>
              <w:t>подключения (технологического присоединения) к централизованной системе холодного водоснабжения</w:t>
            </w:r>
            <w:r>
              <w:rPr>
                <w:sz w:val="24"/>
                <w:szCs w:val="24"/>
              </w:rPr>
              <w:t xml:space="preserve"> – водопровод по ул. </w:t>
            </w:r>
            <w:r w:rsidR="004114F7">
              <w:rPr>
                <w:sz w:val="24"/>
                <w:szCs w:val="24"/>
              </w:rPr>
              <w:t>Азовская</w:t>
            </w:r>
            <w:r>
              <w:rPr>
                <w:sz w:val="24"/>
                <w:szCs w:val="24"/>
              </w:rPr>
              <w:t>, Д=</w:t>
            </w:r>
            <w:r w:rsidR="004114F7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мм. Максимальная нагрузка 0,19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76C50" w:rsidRDefault="00F9560B" w:rsidP="00F9560B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00B0">
              <w:rPr>
                <w:sz w:val="24"/>
                <w:szCs w:val="24"/>
              </w:rPr>
              <w:t xml:space="preserve">Возможность присоединения к сетям </w:t>
            </w:r>
            <w:r>
              <w:rPr>
                <w:sz w:val="24"/>
                <w:szCs w:val="24"/>
              </w:rPr>
              <w:t>водоотведения отсутствует.</w:t>
            </w:r>
          </w:p>
          <w:p w:rsidR="005E00B0" w:rsidRDefault="005E00B0" w:rsidP="00F9560B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подключения объекта капитального строительства к сетям инженерно-технического обеспечения определяется в соответствии с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РФ № 2130 от 30.11.2021 г. </w:t>
            </w:r>
          </w:p>
          <w:p w:rsidR="005E00B0" w:rsidRDefault="005E00B0" w:rsidP="00F9560B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платы за подключение (технологическое присоединение) определяется в соответствии с Федеральным законом № 416 от 07 декабря 2011 г. «О </w:t>
            </w:r>
            <w:r w:rsidR="006B00C5">
              <w:rPr>
                <w:sz w:val="24"/>
                <w:szCs w:val="24"/>
              </w:rPr>
              <w:t>водоснабжении и водоотведении».</w:t>
            </w:r>
          </w:p>
          <w:p w:rsidR="006B00C5" w:rsidRPr="00E70492" w:rsidRDefault="006B00C5" w:rsidP="00F9560B">
            <w:pPr>
              <w:pStyle w:val="2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3 года. </w:t>
            </w:r>
          </w:p>
        </w:tc>
      </w:tr>
      <w:tr w:rsidR="009F2B67" w:rsidTr="003B0656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  <w:shd w:val="clear" w:color="auto" w:fill="FFFFFF" w:themeFill="background1"/>
          </w:tcPr>
          <w:p w:rsidR="00231A87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разрешенного строительства: предельное количество надземных этажей здания – </w:t>
            </w:r>
            <w:r w:rsidR="00F95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1A87" w:rsidRPr="00F6312E" w:rsidRDefault="00231A87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(до конька) 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D6643A" w:rsidRPr="00F63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D2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</w:p>
          <w:p w:rsidR="005E5BD2" w:rsidRPr="004114F7" w:rsidRDefault="005E5BD2" w:rsidP="005E5BD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максимальный процент </w:t>
            </w:r>
            <w:r w:rsidR="00231A87" w:rsidRPr="0041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(процент застройки подземной части не регламентируется)</w:t>
            </w:r>
            <w:r w:rsidRPr="0041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F9560B" w:rsidRPr="0041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F66C21" w:rsidRPr="0041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%.</w:t>
            </w:r>
            <w:r w:rsidR="004114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??????</w:t>
            </w:r>
          </w:p>
          <w:p w:rsidR="00124A58" w:rsidRPr="00F6312E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</w:t>
            </w:r>
          </w:p>
          <w:p w:rsidR="00124A58" w:rsidRPr="00F6312E" w:rsidRDefault="00124A58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5 м - от красной линии улиц (в новых микрорайонах), в застроенной территории по существующей линии застройки);</w:t>
            </w:r>
          </w:p>
          <w:p w:rsidR="00124A58" w:rsidRPr="00F6312E" w:rsidRDefault="003902CF" w:rsidP="001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A58" w:rsidRPr="00F6312E">
              <w:rPr>
                <w:rFonts w:ascii="Times New Roman" w:hAnsi="Times New Roman" w:cs="Times New Roman"/>
                <w:sz w:val="24"/>
                <w:szCs w:val="24"/>
              </w:rPr>
              <w:t xml:space="preserve"> м - от красных линий проездов, (в застроенной территории по существующей линии застройки);</w:t>
            </w:r>
          </w:p>
          <w:p w:rsidR="00471C14" w:rsidRPr="00F6312E" w:rsidRDefault="00124A58" w:rsidP="003B0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hAnsi="Times New Roman" w:cs="Times New Roman"/>
                <w:sz w:val="24"/>
                <w:szCs w:val="24"/>
              </w:rPr>
              <w:t>3 м – от границ смежных земельных участков, (0 м - при блокировке)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</w:t>
            </w:r>
          </w:p>
        </w:tc>
        <w:tc>
          <w:tcPr>
            <w:tcW w:w="6558" w:type="dxa"/>
          </w:tcPr>
          <w:p w:rsidR="009F2B67" w:rsidRPr="00E70492" w:rsidRDefault="005E5BD2" w:rsidP="00D6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</w:t>
            </w:r>
            <w:r w:rsidR="00D6643A">
              <w:rPr>
                <w:rFonts w:ascii="Times New Roman" w:hAnsi="Times New Roman" w:cs="Times New Roman"/>
                <w:sz w:val="24"/>
                <w:szCs w:val="24"/>
              </w:rPr>
              <w:t>к 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звещению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5E5BD2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9F2B67" w:rsidRPr="00E70492" w:rsidRDefault="005E5BD2" w:rsidP="005E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9F2B67" w:rsidRDefault="005E5BD2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0B0EEB" w:rsidRPr="00E70492" w:rsidRDefault="008C6364" w:rsidP="000B0E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0EEB"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="000B0EEB"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установленными электронной площадкой.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C05E6F" w:rsidRPr="00773603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3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</w:t>
            </w:r>
            <w:proofErr w:type="gramStart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3603">
              <w:rPr>
                <w:rFonts w:ascii="Times New Roman" w:hAnsi="Times New Roman" w:cs="Times New Roman"/>
                <w:sz w:val="24"/>
                <w:szCs w:val="24"/>
              </w:rPr>
              <w:t xml:space="preserve"> без НДС»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задатка*;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копии документов, удостоверяющих личность заявителя (для граждан);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990426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990426">
              <w:rPr>
                <w:rFonts w:ascii="Times New Roman" w:hAnsi="Times New Roman" w:cs="Times New Roman"/>
                <w:sz w:val="24"/>
                <w:szCs w:val="24"/>
              </w:rPr>
              <w:t>ие внесение задатка**.;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*заявка заполняется заявителем в электронной форме на электронной площадке РТС-тендер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непоступление задатка на дату рассмотрения заявок на участие в аукционе; </w:t>
            </w:r>
          </w:p>
          <w:p w:rsidR="00C05E6F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9F2B67" w:rsidRPr="00E70492" w:rsidRDefault="00C05E6F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</w:tcPr>
          <w:p w:rsidR="009F2B67" w:rsidRPr="00E70492" w:rsidRDefault="009F2B67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участка, определяется ежегодный размер арендной платы.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6A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30006A" w:rsidRPr="00E70492" w:rsidRDefault="0030006A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C05E6F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67" w:rsidRPr="00E70492" w:rsidRDefault="00C05E6F" w:rsidP="00C05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аукциона или иное лицо, с которым заключается договор аренды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9F2B67" w:rsidTr="00E06F0C">
        <w:tc>
          <w:tcPr>
            <w:tcW w:w="659" w:type="dxa"/>
          </w:tcPr>
          <w:p w:rsidR="009F2B67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9F2B67" w:rsidRPr="00E70492" w:rsidRDefault="009F2B67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предложения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цене, время представления следующих предложений о цене равно 10 (десяти) минутам.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 w:rsidR="00E70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C7065E" w:rsidRPr="00E70492" w:rsidRDefault="00C7065E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65E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9F2B67" w:rsidRPr="00E70492" w:rsidRDefault="0030006A" w:rsidP="00A47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FF5F8C" w:rsidTr="0010507F">
        <w:tc>
          <w:tcPr>
            <w:tcW w:w="659" w:type="dxa"/>
          </w:tcPr>
          <w:p w:rsidR="00FF5F8C" w:rsidRPr="00E70492" w:rsidRDefault="003A2859" w:rsidP="009F2B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FF5F8C" w:rsidRPr="00E70492" w:rsidRDefault="003A2859" w:rsidP="00A47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FF5F8C" w:rsidRPr="00E70492" w:rsidRDefault="003A2859" w:rsidP="00CA2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>Ознакомиться с состоянием земельного участка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можно 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  <w:r w:rsidR="006E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B0656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  <w:r w:rsidR="0010507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A28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73603" w:rsidRDefault="00773603" w:rsidP="00F95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773603" w:rsidSect="00D664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88"/>
    <w:rsid w:val="00023908"/>
    <w:rsid w:val="00047D82"/>
    <w:rsid w:val="000542BA"/>
    <w:rsid w:val="00076C50"/>
    <w:rsid w:val="000B0EEB"/>
    <w:rsid w:val="000C6B46"/>
    <w:rsid w:val="0010507F"/>
    <w:rsid w:val="00114453"/>
    <w:rsid w:val="00124A58"/>
    <w:rsid w:val="00175F09"/>
    <w:rsid w:val="001B5290"/>
    <w:rsid w:val="001E7B5D"/>
    <w:rsid w:val="0020217A"/>
    <w:rsid w:val="0021603F"/>
    <w:rsid w:val="00231A87"/>
    <w:rsid w:val="002323AB"/>
    <w:rsid w:val="002714B6"/>
    <w:rsid w:val="002F1AB3"/>
    <w:rsid w:val="0030006A"/>
    <w:rsid w:val="00333CF0"/>
    <w:rsid w:val="00337156"/>
    <w:rsid w:val="00376B5B"/>
    <w:rsid w:val="0038332F"/>
    <w:rsid w:val="003902CF"/>
    <w:rsid w:val="003A2859"/>
    <w:rsid w:val="003A599D"/>
    <w:rsid w:val="003B0656"/>
    <w:rsid w:val="003D0F2A"/>
    <w:rsid w:val="004114F7"/>
    <w:rsid w:val="00464882"/>
    <w:rsid w:val="00471C14"/>
    <w:rsid w:val="004C3015"/>
    <w:rsid w:val="004C3BA0"/>
    <w:rsid w:val="00560BF9"/>
    <w:rsid w:val="005623EF"/>
    <w:rsid w:val="0059448D"/>
    <w:rsid w:val="005A0408"/>
    <w:rsid w:val="005C0DBF"/>
    <w:rsid w:val="005E00B0"/>
    <w:rsid w:val="005E5BD2"/>
    <w:rsid w:val="005E6B1C"/>
    <w:rsid w:val="0061741B"/>
    <w:rsid w:val="0063426B"/>
    <w:rsid w:val="00663D68"/>
    <w:rsid w:val="00687D54"/>
    <w:rsid w:val="006B00C5"/>
    <w:rsid w:val="006C2FB1"/>
    <w:rsid w:val="006E797C"/>
    <w:rsid w:val="0071098A"/>
    <w:rsid w:val="00717148"/>
    <w:rsid w:val="00730898"/>
    <w:rsid w:val="007401C5"/>
    <w:rsid w:val="00773603"/>
    <w:rsid w:val="007829CD"/>
    <w:rsid w:val="00785772"/>
    <w:rsid w:val="00786AD3"/>
    <w:rsid w:val="00786F67"/>
    <w:rsid w:val="007B415B"/>
    <w:rsid w:val="007F3921"/>
    <w:rsid w:val="00820DDA"/>
    <w:rsid w:val="008809C5"/>
    <w:rsid w:val="00882DE7"/>
    <w:rsid w:val="008A0BFC"/>
    <w:rsid w:val="008C340E"/>
    <w:rsid w:val="008C6364"/>
    <w:rsid w:val="008F401A"/>
    <w:rsid w:val="00914646"/>
    <w:rsid w:val="009456CD"/>
    <w:rsid w:val="0095432E"/>
    <w:rsid w:val="009730A0"/>
    <w:rsid w:val="00990426"/>
    <w:rsid w:val="00991788"/>
    <w:rsid w:val="009F2B67"/>
    <w:rsid w:val="00A4725C"/>
    <w:rsid w:val="00A57A70"/>
    <w:rsid w:val="00A83609"/>
    <w:rsid w:val="00B24D73"/>
    <w:rsid w:val="00B43E0E"/>
    <w:rsid w:val="00B74041"/>
    <w:rsid w:val="00B7675D"/>
    <w:rsid w:val="00B9579C"/>
    <w:rsid w:val="00C036A2"/>
    <w:rsid w:val="00C05E6F"/>
    <w:rsid w:val="00C50370"/>
    <w:rsid w:val="00C7065E"/>
    <w:rsid w:val="00C81C93"/>
    <w:rsid w:val="00C87684"/>
    <w:rsid w:val="00CA2BD6"/>
    <w:rsid w:val="00CB1878"/>
    <w:rsid w:val="00CC35B5"/>
    <w:rsid w:val="00D06B5C"/>
    <w:rsid w:val="00D337BD"/>
    <w:rsid w:val="00D55305"/>
    <w:rsid w:val="00D56767"/>
    <w:rsid w:val="00D57A62"/>
    <w:rsid w:val="00D639D4"/>
    <w:rsid w:val="00D6643A"/>
    <w:rsid w:val="00DE1F47"/>
    <w:rsid w:val="00DF4FDF"/>
    <w:rsid w:val="00E06F0C"/>
    <w:rsid w:val="00E70492"/>
    <w:rsid w:val="00ED764B"/>
    <w:rsid w:val="00F6312E"/>
    <w:rsid w:val="00F66C21"/>
    <w:rsid w:val="00F9560B"/>
    <w:rsid w:val="00FC3E0E"/>
    <w:rsid w:val="00FE7578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93"/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styleId="ae">
    <w:name w:val="Emphasis"/>
    <w:basedOn w:val="a0"/>
    <w:qFormat/>
    <w:rsid w:val="007829CD"/>
    <w:rPr>
      <w:i/>
      <w:iCs/>
    </w:rPr>
  </w:style>
  <w:style w:type="paragraph" w:customStyle="1" w:styleId="af">
    <w:name w:val="Таблицы (моноширинный)"/>
    <w:basedOn w:val="a"/>
    <w:next w:val="a"/>
    <w:uiPriority w:val="99"/>
    <w:rsid w:val="00231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3A59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3A599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59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cp:lastPrinted>2023-09-12T14:53:00Z</cp:lastPrinted>
  <dcterms:created xsi:type="dcterms:W3CDTF">2023-09-10T18:20:00Z</dcterms:created>
  <dcterms:modified xsi:type="dcterms:W3CDTF">2023-09-12T14:55:00Z</dcterms:modified>
</cp:coreProperties>
</file>