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 xml:space="preserve">о проведении аукциона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10507F">
            <w:pPr>
              <w:pStyle w:val="a3"/>
              <w:rPr>
                <w:rFonts w:ascii="Times New Roman" w:hAnsi="Times New Roman" w:cs="Times New Roman"/>
                <w:sz w:val="24"/>
                <w:szCs w:val="24"/>
              </w:rPr>
            </w:pPr>
            <w:r w:rsidRPr="00E70492">
              <w:rPr>
                <w:rFonts w:ascii="Times New Roman" w:hAnsi="Times New Roman" w:cs="Times New Roman"/>
                <w:sz w:val="24"/>
                <w:szCs w:val="24"/>
              </w:rPr>
              <w:t xml:space="preserve">Администрация </w:t>
            </w:r>
            <w:r w:rsidR="0010507F">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sidR="0010507F">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sidR="0010507F">
              <w:rPr>
                <w:rFonts w:ascii="Times New Roman" w:hAnsi="Times New Roman" w:cs="Times New Roman"/>
                <w:sz w:val="24"/>
                <w:szCs w:val="24"/>
              </w:rPr>
              <w:t>а</w:t>
            </w:r>
            <w:r w:rsidRPr="00E70492">
              <w:rPr>
                <w:rFonts w:ascii="Times New Roman" w:hAnsi="Times New Roman" w:cs="Times New Roman"/>
                <w:sz w:val="24"/>
                <w:szCs w:val="24"/>
              </w:rPr>
              <w:t xml:space="preserve"> (352240, Россия, Краснодарский край, г.</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Новокубанск, ул.</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 xml:space="preserve">Первомайская, </w:t>
            </w:r>
            <w:r w:rsidR="0010507F">
              <w:rPr>
                <w:rFonts w:ascii="Times New Roman" w:hAnsi="Times New Roman" w:cs="Times New Roman"/>
                <w:sz w:val="24"/>
                <w:szCs w:val="24"/>
              </w:rPr>
              <w:t>128</w:t>
            </w:r>
            <w:r w:rsidRPr="00E70492">
              <w:rPr>
                <w:rFonts w:ascii="Times New Roman" w:hAnsi="Times New Roman" w:cs="Times New Roman"/>
                <w:sz w:val="24"/>
                <w:szCs w:val="24"/>
              </w:rPr>
              <w:t>)</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10507F" w:rsidRDefault="0010507F" w:rsidP="0010507F">
            <w:pPr>
              <w:pStyle w:val="a3"/>
              <w:rPr>
                <w:rFonts w:ascii="Times New Roman" w:hAnsi="Times New Roman" w:cs="Times New Roman"/>
                <w:sz w:val="24"/>
                <w:szCs w:val="24"/>
                <w:lang w:val="en-US"/>
              </w:rPr>
            </w:pPr>
            <w:r>
              <w:rPr>
                <w:rFonts w:ascii="Times New Roman" w:hAnsi="Times New Roman" w:cs="Times New Roman"/>
                <w:sz w:val="24"/>
                <w:szCs w:val="24"/>
              </w:rPr>
              <w:t xml:space="preserve">Отдел </w:t>
            </w:r>
            <w:r w:rsidR="00A4725C" w:rsidRPr="00E70492">
              <w:rPr>
                <w:rFonts w:ascii="Times New Roman" w:hAnsi="Times New Roman" w:cs="Times New Roman"/>
                <w:sz w:val="24"/>
                <w:szCs w:val="24"/>
              </w:rPr>
              <w:t xml:space="preserve">имущественных </w:t>
            </w:r>
            <w:r>
              <w:rPr>
                <w:rFonts w:ascii="Times New Roman" w:hAnsi="Times New Roman" w:cs="Times New Roman"/>
                <w:sz w:val="24"/>
                <w:szCs w:val="24"/>
              </w:rPr>
              <w:t xml:space="preserve">и земельных </w:t>
            </w:r>
            <w:r w:rsidR="00A4725C" w:rsidRPr="00E70492">
              <w:rPr>
                <w:rFonts w:ascii="Times New Roman" w:hAnsi="Times New Roman" w:cs="Times New Roman"/>
                <w:sz w:val="24"/>
                <w:szCs w:val="24"/>
              </w:rPr>
              <w:t xml:space="preserve">отношений администрации </w:t>
            </w:r>
            <w:r>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Pr>
                <w:rFonts w:ascii="Times New Roman" w:hAnsi="Times New Roman" w:cs="Times New Roman"/>
                <w:sz w:val="24"/>
                <w:szCs w:val="24"/>
              </w:rPr>
              <w:t>а</w:t>
            </w:r>
            <w:r w:rsidRPr="00E70492">
              <w:rPr>
                <w:rFonts w:ascii="Times New Roman" w:hAnsi="Times New Roman" w:cs="Times New Roman"/>
                <w:sz w:val="24"/>
                <w:szCs w:val="24"/>
              </w:rPr>
              <w:t xml:space="preserve"> </w:t>
            </w:r>
            <w:r w:rsidR="00A4725C" w:rsidRPr="00E70492">
              <w:rPr>
                <w:rFonts w:ascii="Times New Roman" w:hAnsi="Times New Roman" w:cs="Times New Roman"/>
                <w:sz w:val="24"/>
                <w:szCs w:val="24"/>
              </w:rPr>
              <w:t>(352240, Россия, Краснодарский край, г.Новокубанск, ул.</w:t>
            </w:r>
            <w:r>
              <w:rPr>
                <w:rFonts w:ascii="Times New Roman" w:hAnsi="Times New Roman" w:cs="Times New Roman"/>
                <w:sz w:val="24"/>
                <w:szCs w:val="24"/>
              </w:rPr>
              <w:t xml:space="preserve"> </w:t>
            </w:r>
            <w:r w:rsidR="00A4725C" w:rsidRPr="00E70492">
              <w:rPr>
                <w:rFonts w:ascii="Times New Roman" w:hAnsi="Times New Roman" w:cs="Times New Roman"/>
                <w:sz w:val="24"/>
                <w:szCs w:val="24"/>
              </w:rPr>
              <w:t xml:space="preserve">Первомайская, </w:t>
            </w:r>
            <w:r>
              <w:rPr>
                <w:rFonts w:ascii="Times New Roman" w:hAnsi="Times New Roman" w:cs="Times New Roman"/>
                <w:sz w:val="24"/>
                <w:szCs w:val="24"/>
              </w:rPr>
              <w:t>128</w:t>
            </w:r>
            <w:r w:rsidR="00A4725C" w:rsidRPr="00E70492">
              <w:rPr>
                <w:rFonts w:ascii="Times New Roman" w:hAnsi="Times New Roman" w:cs="Times New Roman"/>
                <w:sz w:val="24"/>
                <w:szCs w:val="24"/>
              </w:rPr>
              <w:t xml:space="preserve">, </w:t>
            </w:r>
            <w:hyperlink r:id="rId5" w:history="1">
              <w:r w:rsidRPr="00EE0C34">
                <w:rPr>
                  <w:rStyle w:val="a5"/>
                  <w:rFonts w:ascii="Times New Roman" w:hAnsi="Times New Roman" w:cs="Times New Roman"/>
                  <w:sz w:val="24"/>
                  <w:szCs w:val="24"/>
                  <w:lang w:val="en-US"/>
                </w:rPr>
                <w:t>admgornovokub</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mail</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ru</w:t>
              </w:r>
            </w:hyperlink>
            <w:r w:rsidR="00A4725C" w:rsidRPr="00E70492">
              <w:rPr>
                <w:rFonts w:ascii="Times New Roman" w:hAnsi="Times New Roman" w:cs="Times New Roman"/>
                <w:sz w:val="24"/>
                <w:szCs w:val="24"/>
              </w:rPr>
              <w:t>, тел.: 8</w:t>
            </w:r>
            <w:r>
              <w:rPr>
                <w:rFonts w:ascii="Times New Roman" w:hAnsi="Times New Roman" w:cs="Times New Roman"/>
                <w:sz w:val="24"/>
                <w:szCs w:val="24"/>
                <w:lang w:val="en-US"/>
              </w:rPr>
              <w:t>(</w:t>
            </w:r>
            <w:r w:rsidR="00A4725C" w:rsidRPr="00E70492">
              <w:rPr>
                <w:rFonts w:ascii="Times New Roman" w:hAnsi="Times New Roman" w:cs="Times New Roman"/>
                <w:sz w:val="24"/>
                <w:szCs w:val="24"/>
              </w:rPr>
              <w:t>8619</w:t>
            </w:r>
            <w:r>
              <w:rPr>
                <w:rFonts w:ascii="Times New Roman" w:hAnsi="Times New Roman" w:cs="Times New Roman"/>
                <w:sz w:val="24"/>
                <w:szCs w:val="24"/>
                <w:lang w:val="en-US"/>
              </w:rPr>
              <w:t>5</w:t>
            </w:r>
            <w:r w:rsidR="00A4725C" w:rsidRPr="00E70492">
              <w:rPr>
                <w:rFonts w:ascii="Times New Roman" w:hAnsi="Times New Roman" w:cs="Times New Roman"/>
                <w:sz w:val="24"/>
                <w:szCs w:val="24"/>
              </w:rPr>
              <w:t>)</w:t>
            </w:r>
            <w:r>
              <w:rPr>
                <w:rFonts w:ascii="Times New Roman" w:hAnsi="Times New Roman" w:cs="Times New Roman"/>
                <w:sz w:val="24"/>
                <w:szCs w:val="24"/>
                <w:lang w:val="en-US"/>
              </w:rPr>
              <w:t>31980</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проведении аукциона</w:t>
            </w:r>
          </w:p>
        </w:tc>
        <w:tc>
          <w:tcPr>
            <w:tcW w:w="6558" w:type="dxa"/>
          </w:tcPr>
          <w:p w:rsidR="009F2B67" w:rsidRPr="00464882" w:rsidRDefault="00A4725C" w:rsidP="000B3542">
            <w:pPr>
              <w:pStyle w:val="a3"/>
              <w:rPr>
                <w:rFonts w:ascii="Times New Roman" w:hAnsi="Times New Roman" w:cs="Times New Roman"/>
                <w:sz w:val="24"/>
                <w:szCs w:val="24"/>
              </w:rPr>
            </w:pPr>
            <w:r w:rsidRPr="00464882">
              <w:rPr>
                <w:rFonts w:ascii="Times New Roman" w:hAnsi="Times New Roman" w:cs="Times New Roman"/>
                <w:sz w:val="24"/>
                <w:szCs w:val="24"/>
              </w:rPr>
              <w:t xml:space="preserve">Постановление администрации </w:t>
            </w:r>
            <w:r w:rsidR="0010507F" w:rsidRPr="00464882">
              <w:rPr>
                <w:rFonts w:ascii="Times New Roman" w:hAnsi="Times New Roman" w:cs="Times New Roman"/>
                <w:sz w:val="24"/>
                <w:szCs w:val="24"/>
              </w:rPr>
              <w:t>Новокубанского городского поселения Новокубанского района</w:t>
            </w:r>
            <w:r w:rsidRPr="00464882">
              <w:rPr>
                <w:rFonts w:ascii="Times New Roman" w:hAnsi="Times New Roman" w:cs="Times New Roman"/>
                <w:sz w:val="24"/>
                <w:szCs w:val="24"/>
              </w:rPr>
              <w:t xml:space="preserve"> от </w:t>
            </w:r>
            <w:r w:rsidR="000B3542">
              <w:rPr>
                <w:rFonts w:ascii="Times New Roman" w:hAnsi="Times New Roman" w:cs="Times New Roman"/>
                <w:sz w:val="24"/>
                <w:szCs w:val="24"/>
              </w:rPr>
              <w:t xml:space="preserve">08 </w:t>
            </w:r>
            <w:r w:rsidR="00047D82">
              <w:rPr>
                <w:rFonts w:ascii="Times New Roman" w:hAnsi="Times New Roman" w:cs="Times New Roman"/>
                <w:sz w:val="24"/>
                <w:szCs w:val="24"/>
              </w:rPr>
              <w:t xml:space="preserve">сентября </w:t>
            </w:r>
            <w:r w:rsidR="0010507F" w:rsidRPr="00464882">
              <w:rPr>
                <w:rFonts w:ascii="Times New Roman" w:hAnsi="Times New Roman" w:cs="Times New Roman"/>
                <w:sz w:val="24"/>
                <w:szCs w:val="24"/>
              </w:rPr>
              <w:t>2023</w:t>
            </w:r>
            <w:r w:rsidRPr="00464882">
              <w:rPr>
                <w:rFonts w:ascii="Times New Roman" w:hAnsi="Times New Roman" w:cs="Times New Roman"/>
                <w:sz w:val="24"/>
                <w:szCs w:val="24"/>
              </w:rPr>
              <w:t xml:space="preserve"> </w:t>
            </w:r>
            <w:r w:rsidRPr="00CB1878">
              <w:rPr>
                <w:rFonts w:ascii="Times New Roman" w:hAnsi="Times New Roman" w:cs="Times New Roman"/>
                <w:sz w:val="24"/>
                <w:szCs w:val="24"/>
              </w:rPr>
              <w:t>года</w:t>
            </w:r>
            <w:r w:rsidR="0010507F" w:rsidRPr="00CB1878">
              <w:rPr>
                <w:rFonts w:ascii="Times New Roman" w:hAnsi="Times New Roman" w:cs="Times New Roman"/>
                <w:sz w:val="24"/>
                <w:szCs w:val="24"/>
              </w:rPr>
              <w:t xml:space="preserve"> </w:t>
            </w:r>
            <w:r w:rsidR="00CB1878">
              <w:rPr>
                <w:rFonts w:ascii="Times New Roman" w:hAnsi="Times New Roman" w:cs="Times New Roman"/>
                <w:sz w:val="24"/>
                <w:szCs w:val="24"/>
              </w:rPr>
              <w:t xml:space="preserve">                </w:t>
            </w:r>
            <w:r w:rsidRPr="00CB1878">
              <w:rPr>
                <w:rFonts w:ascii="Times New Roman" w:hAnsi="Times New Roman" w:cs="Times New Roman"/>
                <w:sz w:val="24"/>
                <w:szCs w:val="24"/>
              </w:rPr>
              <w:t xml:space="preserve">№ </w:t>
            </w:r>
            <w:r w:rsidR="000B3542">
              <w:rPr>
                <w:rFonts w:ascii="Times New Roman" w:hAnsi="Times New Roman" w:cs="Times New Roman"/>
                <w:sz w:val="24"/>
                <w:szCs w:val="24"/>
              </w:rPr>
              <w:t>950</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464882" w:rsidRDefault="00047D82" w:rsidP="00471C14">
            <w:pPr>
              <w:pStyle w:val="a3"/>
              <w:rPr>
                <w:rFonts w:ascii="Times New Roman" w:hAnsi="Times New Roman" w:cs="Times New Roman"/>
                <w:sz w:val="24"/>
                <w:szCs w:val="24"/>
              </w:rPr>
            </w:pPr>
            <w:r>
              <w:rPr>
                <w:rFonts w:ascii="Times New Roman" w:hAnsi="Times New Roman" w:cs="Times New Roman"/>
                <w:sz w:val="24"/>
                <w:szCs w:val="24"/>
              </w:rPr>
              <w:t>С 13 сентября</w:t>
            </w:r>
            <w:r w:rsidR="0010507F" w:rsidRPr="00464882">
              <w:rPr>
                <w:rFonts w:ascii="Times New Roman" w:hAnsi="Times New Roman" w:cs="Times New Roman"/>
                <w:sz w:val="24"/>
                <w:szCs w:val="24"/>
              </w:rPr>
              <w:t xml:space="preserve"> 2023</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с</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09:00 (по московскому времени)  по </w:t>
            </w:r>
            <w:r>
              <w:rPr>
                <w:rFonts w:ascii="Times New Roman" w:hAnsi="Times New Roman" w:cs="Times New Roman"/>
                <w:sz w:val="24"/>
                <w:szCs w:val="24"/>
              </w:rPr>
              <w:t xml:space="preserve">              09 октября</w:t>
            </w:r>
            <w:r w:rsidR="00D55305" w:rsidRPr="00464882">
              <w:rPr>
                <w:rFonts w:ascii="Times New Roman" w:hAnsi="Times New Roman" w:cs="Times New Roman"/>
                <w:sz w:val="24"/>
                <w:szCs w:val="24"/>
              </w:rPr>
              <w:t xml:space="preserve"> </w:t>
            </w:r>
            <w:r w:rsidR="0010507F" w:rsidRPr="00464882">
              <w:rPr>
                <w:rFonts w:ascii="Times New Roman" w:hAnsi="Times New Roman" w:cs="Times New Roman"/>
                <w:sz w:val="24"/>
                <w:szCs w:val="24"/>
              </w:rPr>
              <w:t>2023</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до </w:t>
            </w:r>
            <w:r w:rsidR="00A4725C" w:rsidRPr="00464882">
              <w:rPr>
                <w:rFonts w:ascii="Times New Roman" w:hAnsi="Times New Roman" w:cs="Times New Roman"/>
                <w:sz w:val="24"/>
                <w:szCs w:val="24"/>
              </w:rPr>
              <w:t>17:00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464882" w:rsidRDefault="00047D82" w:rsidP="004C3BA0">
            <w:pPr>
              <w:pStyle w:val="a3"/>
              <w:rPr>
                <w:rFonts w:ascii="Times New Roman" w:hAnsi="Times New Roman" w:cs="Times New Roman"/>
                <w:sz w:val="24"/>
                <w:szCs w:val="24"/>
                <w:lang w:val="en-US"/>
              </w:rPr>
            </w:pPr>
            <w:r>
              <w:rPr>
                <w:rFonts w:ascii="Times New Roman" w:hAnsi="Times New Roman" w:cs="Times New Roman"/>
                <w:sz w:val="24"/>
                <w:szCs w:val="24"/>
              </w:rPr>
              <w:t>11</w:t>
            </w:r>
            <w:r w:rsidR="00471C14">
              <w:rPr>
                <w:rFonts w:ascii="Times New Roman" w:hAnsi="Times New Roman" w:cs="Times New Roman"/>
                <w:sz w:val="24"/>
                <w:szCs w:val="24"/>
              </w:rPr>
              <w:t xml:space="preserve"> </w:t>
            </w:r>
            <w:r>
              <w:rPr>
                <w:rFonts w:ascii="Times New Roman" w:hAnsi="Times New Roman" w:cs="Times New Roman"/>
                <w:sz w:val="24"/>
                <w:szCs w:val="24"/>
              </w:rPr>
              <w:t>октября</w:t>
            </w:r>
            <w:r w:rsidR="00471C14">
              <w:rPr>
                <w:rFonts w:ascii="Times New Roman" w:hAnsi="Times New Roman" w:cs="Times New Roman"/>
                <w:sz w:val="24"/>
                <w:szCs w:val="24"/>
              </w:rPr>
              <w:t xml:space="preserve"> </w:t>
            </w:r>
            <w:r w:rsidR="00D55305" w:rsidRPr="00464882">
              <w:rPr>
                <w:rFonts w:ascii="Times New Roman" w:hAnsi="Times New Roman" w:cs="Times New Roman"/>
                <w:sz w:val="24"/>
                <w:szCs w:val="24"/>
                <w:lang w:val="en-US"/>
              </w:rPr>
              <w:t>2023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464882" w:rsidRDefault="00047D82" w:rsidP="00471C14">
            <w:pPr>
              <w:pStyle w:val="a3"/>
              <w:rPr>
                <w:rFonts w:ascii="Times New Roman" w:hAnsi="Times New Roman" w:cs="Times New Roman"/>
                <w:sz w:val="24"/>
                <w:szCs w:val="24"/>
              </w:rPr>
            </w:pPr>
            <w:r>
              <w:rPr>
                <w:rFonts w:ascii="Times New Roman" w:hAnsi="Times New Roman" w:cs="Times New Roman"/>
                <w:sz w:val="24"/>
                <w:szCs w:val="24"/>
              </w:rPr>
              <w:t>13 октября</w:t>
            </w:r>
            <w:r w:rsidR="00D55305" w:rsidRPr="00464882">
              <w:rPr>
                <w:rFonts w:ascii="Times New Roman" w:hAnsi="Times New Roman" w:cs="Times New Roman"/>
                <w:sz w:val="24"/>
                <w:szCs w:val="24"/>
              </w:rPr>
              <w:t xml:space="preserve"> 2023</w:t>
            </w:r>
            <w:r w:rsidR="00A4725C" w:rsidRPr="00464882">
              <w:rPr>
                <w:rFonts w:ascii="Times New Roman" w:hAnsi="Times New Roman" w:cs="Times New Roman"/>
                <w:sz w:val="24"/>
                <w:szCs w:val="24"/>
              </w:rPr>
              <w:t xml:space="preserve"> в </w:t>
            </w:r>
            <w:r w:rsidR="003D0F2A">
              <w:rPr>
                <w:rFonts w:ascii="Times New Roman" w:hAnsi="Times New Roman" w:cs="Times New Roman"/>
                <w:sz w:val="24"/>
                <w:szCs w:val="24"/>
              </w:rPr>
              <w:t>11</w:t>
            </w:r>
            <w:r w:rsidR="00A4725C" w:rsidRPr="00464882">
              <w:rPr>
                <w:rFonts w:ascii="Times New Roman" w:hAnsi="Times New Roman" w:cs="Times New Roman"/>
                <w:sz w:val="24"/>
                <w:szCs w:val="24"/>
              </w:rPr>
              <w:t>:00 (по московскому времени)</w:t>
            </w:r>
          </w:p>
        </w:tc>
      </w:tr>
      <w:tr w:rsidR="00990426" w:rsidTr="00E06F0C">
        <w:tc>
          <w:tcPr>
            <w:tcW w:w="659" w:type="dxa"/>
          </w:tcPr>
          <w:p w:rsidR="00990426"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990426" w:rsidRPr="00E70492" w:rsidRDefault="0063426B"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990426" w:rsidRPr="00464882" w:rsidRDefault="00047D82" w:rsidP="000542BA">
            <w:pPr>
              <w:pStyle w:val="a3"/>
              <w:rPr>
                <w:rFonts w:ascii="Times New Roman" w:hAnsi="Times New Roman" w:cs="Times New Roman"/>
                <w:sz w:val="24"/>
                <w:szCs w:val="24"/>
              </w:rPr>
            </w:pPr>
            <w:r w:rsidRPr="00047D82">
              <w:rPr>
                <w:rFonts w:ascii="Times New Roman" w:hAnsi="Times New Roman" w:cs="Times New Roman"/>
                <w:sz w:val="24"/>
                <w:szCs w:val="24"/>
              </w:rPr>
              <w:t>09 октября 2023</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6312E" w:rsidP="00786F67">
            <w:pPr>
              <w:pStyle w:val="a3"/>
              <w:rPr>
                <w:rFonts w:ascii="Times New Roman" w:hAnsi="Times New Roman" w:cs="Times New Roman"/>
                <w:sz w:val="24"/>
                <w:szCs w:val="24"/>
              </w:rPr>
            </w:pPr>
            <w:r w:rsidRPr="00F6312E">
              <w:rPr>
                <w:rFonts w:ascii="Times New Roman" w:hAnsi="Times New Roman" w:cs="Times New Roman"/>
                <w:sz w:val="24"/>
                <w:szCs w:val="24"/>
              </w:rPr>
              <w:t xml:space="preserve">Участниками электронного аукциона могут быть </w:t>
            </w:r>
            <w:r w:rsidR="00F66C21" w:rsidRPr="00F66C21">
              <w:rPr>
                <w:rFonts w:ascii="Times New Roman" w:hAnsi="Times New Roman" w:cs="Times New Roman"/>
                <w:sz w:val="24"/>
                <w:szCs w:val="24"/>
              </w:rPr>
              <w:t>физические и юридические лица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A4725C" w:rsidRPr="004C3BA0"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Адрес земельного участка: </w:t>
            </w:r>
            <w:r w:rsidR="003D0F2A" w:rsidRPr="003D0F2A">
              <w:rPr>
                <w:rFonts w:ascii="Times New Roman" w:hAnsi="Times New Roman" w:cs="Times New Roman"/>
                <w:spacing w:val="-11"/>
                <w:sz w:val="24"/>
                <w:szCs w:val="24"/>
                <w:shd w:val="clear" w:color="auto" w:fill="FFFFFF"/>
              </w:rPr>
              <w:t>Российская Федерация, Краснодарский край, Новокубанский район, Новокубанское городское поселение, город Новокубанск, улица Волгоградская, 13Г</w:t>
            </w:r>
            <w:r w:rsidRPr="004C3BA0">
              <w:rPr>
                <w:rFonts w:ascii="Times New Roman" w:hAnsi="Times New Roman" w:cs="Times New Roman"/>
                <w:sz w:val="24"/>
                <w:szCs w:val="24"/>
              </w:rPr>
              <w:t>;</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площадь земельного участка:</w:t>
            </w:r>
            <w:r w:rsidR="00B7675D">
              <w:rPr>
                <w:rFonts w:ascii="Times New Roman" w:hAnsi="Times New Roman" w:cs="Times New Roman"/>
                <w:sz w:val="24"/>
                <w:szCs w:val="24"/>
              </w:rPr>
              <w:t xml:space="preserve"> </w:t>
            </w:r>
            <w:r w:rsidR="003D0F2A">
              <w:rPr>
                <w:rFonts w:ascii="Times New Roman" w:hAnsi="Times New Roman" w:cs="Times New Roman"/>
                <w:sz w:val="24"/>
                <w:szCs w:val="24"/>
              </w:rPr>
              <w:t>1500</w:t>
            </w:r>
            <w:r w:rsidR="005E5BD2" w:rsidRPr="00E70492">
              <w:rPr>
                <w:rFonts w:ascii="Times New Roman" w:hAnsi="Times New Roman" w:cs="Times New Roman"/>
                <w:sz w:val="24"/>
                <w:szCs w:val="24"/>
              </w:rPr>
              <w:t xml:space="preserve"> </w:t>
            </w:r>
            <w:r w:rsidRPr="00E70492">
              <w:rPr>
                <w:rFonts w:ascii="Times New Roman" w:hAnsi="Times New Roman" w:cs="Times New Roman"/>
                <w:sz w:val="24"/>
                <w:szCs w:val="24"/>
              </w:rPr>
              <w:t>кв</w:t>
            </w:r>
            <w:proofErr w:type="gramStart"/>
            <w:r w:rsidRPr="00E70492">
              <w:rPr>
                <w:rFonts w:ascii="Times New Roman" w:hAnsi="Times New Roman" w:cs="Times New Roman"/>
                <w:sz w:val="24"/>
                <w:szCs w:val="24"/>
              </w:rPr>
              <w:t>.м</w:t>
            </w:r>
            <w:proofErr w:type="gramEnd"/>
            <w:r w:rsidRPr="00E70492">
              <w:rPr>
                <w:rFonts w:ascii="Times New Roman" w:hAnsi="Times New Roman" w:cs="Times New Roman"/>
                <w:sz w:val="24"/>
                <w:szCs w:val="24"/>
              </w:rPr>
              <w:t>;</w:t>
            </w:r>
          </w:p>
          <w:p w:rsidR="005E5BD2"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категория земель: земли населенных пунктов;</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кадастровый номер земельного участка: </w:t>
            </w:r>
            <w:r w:rsidR="003D0F2A" w:rsidRPr="003D0F2A">
              <w:rPr>
                <w:rFonts w:ascii="Times New Roman" w:hAnsi="Times New Roman" w:cs="Times New Roman"/>
                <w:sz w:val="24"/>
                <w:szCs w:val="24"/>
              </w:rPr>
              <w:t>23:21:0401012:1404</w:t>
            </w:r>
            <w:r w:rsidRPr="00E70492">
              <w:rPr>
                <w:rFonts w:ascii="Times New Roman" w:hAnsi="Times New Roman" w:cs="Times New Roman"/>
                <w:sz w:val="24"/>
                <w:szCs w:val="24"/>
              </w:rPr>
              <w:t>;</w:t>
            </w:r>
          </w:p>
          <w:p w:rsidR="009F2B67" w:rsidRPr="004C3BA0"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разрешенное использование земельного участка: </w:t>
            </w:r>
            <w:r w:rsidR="00DF4FDF" w:rsidRPr="00DF4FDF">
              <w:rPr>
                <w:rFonts w:ascii="Times New Roman" w:hAnsi="Times New Roman" w:cs="Times New Roman"/>
                <w:sz w:val="24"/>
                <w:szCs w:val="24"/>
              </w:rPr>
              <w:t>для индивидуального жилищного строительства</w:t>
            </w:r>
            <w:r w:rsidR="00B7675D" w:rsidRPr="004C3BA0">
              <w:rPr>
                <w:rFonts w:ascii="Times New Roman" w:hAnsi="Times New Roman" w:cs="Times New Roman"/>
                <w:sz w:val="24"/>
                <w:szCs w:val="24"/>
              </w:rPr>
              <w:t>;</w:t>
            </w:r>
          </w:p>
          <w:p w:rsidR="00786AD3" w:rsidRPr="00E70492" w:rsidRDefault="00786AD3" w:rsidP="00A4725C">
            <w:pPr>
              <w:pStyle w:val="a3"/>
              <w:rPr>
                <w:rFonts w:ascii="Times New Roman" w:hAnsi="Times New Roman" w:cs="Times New Roman"/>
                <w:sz w:val="24"/>
                <w:szCs w:val="24"/>
              </w:rPr>
            </w:pPr>
            <w:r>
              <w:rPr>
                <w:rFonts w:ascii="Times New Roman" w:hAnsi="Times New Roman" w:cs="Times New Roman"/>
                <w:sz w:val="24"/>
                <w:szCs w:val="24"/>
              </w:rPr>
              <w:t>права: государственная собственность не разграничена.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9F2B67" w:rsidRPr="00464882" w:rsidRDefault="00DF4FDF" w:rsidP="00471C14">
            <w:pPr>
              <w:pStyle w:val="a3"/>
              <w:rPr>
                <w:rFonts w:ascii="Times New Roman" w:hAnsi="Times New Roman" w:cs="Times New Roman"/>
                <w:sz w:val="24"/>
                <w:szCs w:val="24"/>
              </w:rPr>
            </w:pPr>
            <w:r>
              <w:rPr>
                <w:rFonts w:ascii="Times New Roman" w:hAnsi="Times New Roman" w:cs="Times New Roman"/>
                <w:sz w:val="24"/>
                <w:szCs w:val="24"/>
              </w:rPr>
              <w:t>Собственность</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DF4FDF" w:rsidRDefault="00D57A62" w:rsidP="00560BF9">
            <w:pPr>
              <w:autoSpaceDN w:val="0"/>
              <w:adjustRightInd w:val="0"/>
              <w:spacing w:line="200" w:lineRule="atLeast"/>
              <w:jc w:val="both"/>
              <w:textAlignment w:val="center"/>
              <w:rPr>
                <w:rFonts w:ascii="Times New Roman" w:hAnsi="Times New Roman" w:cs="Times New Roman"/>
                <w:spacing w:val="4"/>
                <w:w w:val="101"/>
                <w:sz w:val="24"/>
                <w:szCs w:val="24"/>
              </w:rPr>
            </w:pPr>
            <w:r w:rsidRPr="00D57A62">
              <w:rPr>
                <w:rFonts w:ascii="Times New Roman" w:hAnsi="Times New Roman" w:cs="Times New Roman"/>
                <w:spacing w:val="4"/>
                <w:w w:val="101"/>
                <w:sz w:val="24"/>
                <w:szCs w:val="24"/>
                <w:u w:val="single"/>
              </w:rPr>
              <w:t xml:space="preserve">   Земельный участок находится в </w:t>
            </w:r>
            <w:r w:rsidR="00DF4FDF">
              <w:rPr>
                <w:rFonts w:ascii="Times New Roman" w:hAnsi="Times New Roman" w:cs="Times New Roman"/>
                <w:spacing w:val="4"/>
                <w:w w:val="101"/>
                <w:sz w:val="24"/>
                <w:szCs w:val="24"/>
                <w:u w:val="single"/>
              </w:rPr>
              <w:t>третьем поясе санитарной охраны источника водоснабжения</w:t>
            </w:r>
            <w:r w:rsidR="00DF4FDF" w:rsidRPr="00DF4FDF">
              <w:rPr>
                <w:rFonts w:ascii="Times New Roman" w:hAnsi="Times New Roman" w:cs="Times New Roman"/>
                <w:spacing w:val="4"/>
                <w:w w:val="101"/>
                <w:sz w:val="24"/>
                <w:szCs w:val="24"/>
              </w:rPr>
              <w:t xml:space="preserve">,  где предусматриваются следующие мероприятия: </w:t>
            </w:r>
          </w:p>
          <w:p w:rsidR="00DF4FDF" w:rsidRPr="00DF4FDF" w:rsidRDefault="00DF4FDF" w:rsidP="00DF4FDF">
            <w:pPr>
              <w:autoSpaceDN w:val="0"/>
              <w:adjustRightInd w:val="0"/>
              <w:spacing w:line="200" w:lineRule="atLeast"/>
              <w:jc w:val="both"/>
              <w:textAlignment w:val="center"/>
              <w:rPr>
                <w:rFonts w:ascii="Times New Roman" w:hAnsi="Times New Roman" w:cs="Times New Roman"/>
                <w:spacing w:val="4"/>
                <w:w w:val="101"/>
                <w:sz w:val="24"/>
                <w:szCs w:val="24"/>
              </w:rPr>
            </w:pPr>
            <w:r>
              <w:rPr>
                <w:rFonts w:ascii="Times New Roman" w:hAnsi="Times New Roman" w:cs="Times New Roman"/>
                <w:spacing w:val="4"/>
                <w:w w:val="101"/>
                <w:sz w:val="24"/>
                <w:szCs w:val="24"/>
              </w:rPr>
              <w:lastRenderedPageBreak/>
              <w:t>- в</w:t>
            </w:r>
            <w:r w:rsidRPr="00DF4FDF">
              <w:rPr>
                <w:rFonts w:ascii="Times New Roman" w:hAnsi="Times New Roman" w:cs="Times New Roman"/>
                <w:spacing w:val="4"/>
                <w:w w:val="101"/>
                <w:sz w:val="24"/>
                <w:szCs w:val="24"/>
              </w:rPr>
              <w:t>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F4FDF" w:rsidRPr="00DF4FDF" w:rsidRDefault="00DF4FDF" w:rsidP="00DF4FDF">
            <w:pPr>
              <w:autoSpaceDN w:val="0"/>
              <w:adjustRightInd w:val="0"/>
              <w:spacing w:line="200" w:lineRule="atLeast"/>
              <w:jc w:val="both"/>
              <w:textAlignment w:val="center"/>
              <w:rPr>
                <w:rFonts w:ascii="Times New Roman" w:hAnsi="Times New Roman" w:cs="Times New Roman"/>
                <w:spacing w:val="4"/>
                <w:w w:val="101"/>
                <w:sz w:val="24"/>
                <w:szCs w:val="24"/>
              </w:rPr>
            </w:pPr>
            <w:r>
              <w:rPr>
                <w:rFonts w:ascii="Times New Roman" w:hAnsi="Times New Roman" w:cs="Times New Roman"/>
                <w:spacing w:val="4"/>
                <w:w w:val="101"/>
                <w:sz w:val="24"/>
                <w:szCs w:val="24"/>
              </w:rPr>
              <w:t>-</w:t>
            </w:r>
            <w:r w:rsidRPr="00DF4FDF">
              <w:rPr>
                <w:rFonts w:ascii="Times New Roman" w:hAnsi="Times New Roman" w:cs="Times New Roman"/>
                <w:spacing w:val="4"/>
                <w:w w:val="101"/>
                <w:sz w:val="24"/>
                <w:szCs w:val="24"/>
              </w:rPr>
              <w:t xml:space="preserve"> </w:t>
            </w:r>
            <w:r>
              <w:rPr>
                <w:rFonts w:ascii="Times New Roman" w:hAnsi="Times New Roman" w:cs="Times New Roman"/>
                <w:spacing w:val="4"/>
                <w:w w:val="101"/>
                <w:sz w:val="24"/>
                <w:szCs w:val="24"/>
              </w:rPr>
              <w:t>б</w:t>
            </w:r>
            <w:r w:rsidRPr="00DF4FDF">
              <w:rPr>
                <w:rFonts w:ascii="Times New Roman" w:hAnsi="Times New Roman" w:cs="Times New Roman"/>
                <w:spacing w:val="4"/>
                <w:w w:val="101"/>
                <w:sz w:val="24"/>
                <w:szCs w:val="24"/>
              </w:rPr>
              <w:t>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DF4FDF" w:rsidRPr="00DF4FDF" w:rsidRDefault="00DF4FDF" w:rsidP="00DF4FDF">
            <w:pPr>
              <w:autoSpaceDN w:val="0"/>
              <w:adjustRightInd w:val="0"/>
              <w:spacing w:line="200" w:lineRule="atLeast"/>
              <w:jc w:val="both"/>
              <w:textAlignment w:val="center"/>
              <w:rPr>
                <w:rFonts w:ascii="Times New Roman" w:hAnsi="Times New Roman" w:cs="Times New Roman"/>
                <w:spacing w:val="4"/>
                <w:w w:val="101"/>
                <w:sz w:val="24"/>
                <w:szCs w:val="24"/>
              </w:rPr>
            </w:pPr>
            <w:r>
              <w:rPr>
                <w:rFonts w:ascii="Times New Roman" w:hAnsi="Times New Roman" w:cs="Times New Roman"/>
                <w:spacing w:val="4"/>
                <w:w w:val="101"/>
                <w:sz w:val="24"/>
                <w:szCs w:val="24"/>
              </w:rPr>
              <w:t>- з</w:t>
            </w:r>
            <w:r w:rsidRPr="00DF4FDF">
              <w:rPr>
                <w:rFonts w:ascii="Times New Roman" w:hAnsi="Times New Roman" w:cs="Times New Roman"/>
                <w:spacing w:val="4"/>
                <w:w w:val="101"/>
                <w:sz w:val="24"/>
                <w:szCs w:val="24"/>
              </w:rPr>
              <w:t>апрещение закачки отработанных вод в подземные горизонты, подземного складирования твердых отходов и разработки недр земли.</w:t>
            </w:r>
          </w:p>
          <w:p w:rsidR="00DF4FDF" w:rsidRPr="00DF4FDF" w:rsidRDefault="00DF4FDF" w:rsidP="00DF4FDF">
            <w:pPr>
              <w:autoSpaceDN w:val="0"/>
              <w:adjustRightInd w:val="0"/>
              <w:spacing w:line="200" w:lineRule="atLeast"/>
              <w:jc w:val="both"/>
              <w:textAlignment w:val="center"/>
              <w:rPr>
                <w:rFonts w:ascii="Times New Roman" w:hAnsi="Times New Roman" w:cs="Times New Roman"/>
                <w:spacing w:val="4"/>
                <w:w w:val="101"/>
                <w:sz w:val="24"/>
                <w:szCs w:val="24"/>
              </w:rPr>
            </w:pPr>
            <w:r>
              <w:rPr>
                <w:rFonts w:ascii="Times New Roman" w:hAnsi="Times New Roman" w:cs="Times New Roman"/>
                <w:spacing w:val="4"/>
                <w:w w:val="101"/>
                <w:sz w:val="24"/>
                <w:szCs w:val="24"/>
              </w:rPr>
              <w:t>- з</w:t>
            </w:r>
            <w:r w:rsidRPr="00DF4FDF">
              <w:rPr>
                <w:rFonts w:ascii="Times New Roman" w:hAnsi="Times New Roman" w:cs="Times New Roman"/>
                <w:spacing w:val="4"/>
                <w:w w:val="101"/>
                <w:sz w:val="24"/>
                <w:szCs w:val="24"/>
              </w:rPr>
              <w:t xml:space="preserve">апрещение размещения складов горюче-смазочных материалов, ядохимикатов и минеральных удобрений, накопителей </w:t>
            </w:r>
            <w:proofErr w:type="spellStart"/>
            <w:r w:rsidRPr="00DF4FDF">
              <w:rPr>
                <w:rFonts w:ascii="Times New Roman" w:hAnsi="Times New Roman" w:cs="Times New Roman"/>
                <w:spacing w:val="4"/>
                <w:w w:val="101"/>
                <w:sz w:val="24"/>
                <w:szCs w:val="24"/>
              </w:rPr>
              <w:t>промстоков</w:t>
            </w:r>
            <w:proofErr w:type="spellEnd"/>
            <w:r w:rsidRPr="00DF4FDF">
              <w:rPr>
                <w:rFonts w:ascii="Times New Roman" w:hAnsi="Times New Roman" w:cs="Times New Roman"/>
                <w:spacing w:val="4"/>
                <w:w w:val="101"/>
                <w:sz w:val="24"/>
                <w:szCs w:val="24"/>
              </w:rPr>
              <w:t xml:space="preserve">, </w:t>
            </w:r>
            <w:proofErr w:type="spellStart"/>
            <w:r w:rsidRPr="00DF4FDF">
              <w:rPr>
                <w:rFonts w:ascii="Times New Roman" w:hAnsi="Times New Roman" w:cs="Times New Roman"/>
                <w:spacing w:val="4"/>
                <w:w w:val="101"/>
                <w:sz w:val="24"/>
                <w:szCs w:val="24"/>
              </w:rPr>
              <w:t>шламохранилищ</w:t>
            </w:r>
            <w:proofErr w:type="spellEnd"/>
            <w:r w:rsidRPr="00DF4FDF">
              <w:rPr>
                <w:rFonts w:ascii="Times New Roman" w:hAnsi="Times New Roman" w:cs="Times New Roman"/>
                <w:spacing w:val="4"/>
                <w:w w:val="101"/>
                <w:sz w:val="24"/>
                <w:szCs w:val="24"/>
              </w:rPr>
              <w:t xml:space="preserve"> и других объектов, обусловливающих опасность химического загрязнения подземных вод.</w:t>
            </w:r>
          </w:p>
          <w:p w:rsidR="00DF4FDF" w:rsidRPr="00DF4FDF" w:rsidRDefault="005E6B1C" w:rsidP="00DF4FDF">
            <w:pPr>
              <w:autoSpaceDN w:val="0"/>
              <w:adjustRightInd w:val="0"/>
              <w:spacing w:line="200" w:lineRule="atLeast"/>
              <w:jc w:val="both"/>
              <w:textAlignment w:val="center"/>
              <w:rPr>
                <w:rFonts w:ascii="Times New Roman" w:hAnsi="Times New Roman" w:cs="Times New Roman"/>
                <w:spacing w:val="4"/>
                <w:w w:val="101"/>
                <w:sz w:val="24"/>
                <w:szCs w:val="24"/>
              </w:rPr>
            </w:pPr>
            <w:r>
              <w:rPr>
                <w:rFonts w:ascii="Times New Roman" w:hAnsi="Times New Roman" w:cs="Times New Roman"/>
                <w:spacing w:val="4"/>
                <w:w w:val="101"/>
                <w:sz w:val="24"/>
                <w:szCs w:val="24"/>
              </w:rPr>
              <w:t>Р</w:t>
            </w:r>
            <w:r w:rsidR="00DF4FDF" w:rsidRPr="00DF4FDF">
              <w:rPr>
                <w:rFonts w:ascii="Times New Roman" w:hAnsi="Times New Roman" w:cs="Times New Roman"/>
                <w:spacing w:val="4"/>
                <w:w w:val="101"/>
                <w:sz w:val="24"/>
                <w:szCs w:val="24"/>
              </w:rPr>
              <w:t>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DF4FDF" w:rsidRDefault="005E6B1C" w:rsidP="00DF4FDF">
            <w:pPr>
              <w:autoSpaceDN w:val="0"/>
              <w:adjustRightInd w:val="0"/>
              <w:spacing w:line="200" w:lineRule="atLeast"/>
              <w:jc w:val="both"/>
              <w:textAlignment w:val="center"/>
              <w:rPr>
                <w:rFonts w:ascii="Times New Roman" w:hAnsi="Times New Roman" w:cs="Times New Roman"/>
                <w:spacing w:val="4"/>
                <w:w w:val="101"/>
                <w:sz w:val="24"/>
                <w:szCs w:val="24"/>
              </w:rPr>
            </w:pPr>
            <w:r>
              <w:rPr>
                <w:rFonts w:ascii="Times New Roman" w:hAnsi="Times New Roman" w:cs="Times New Roman"/>
                <w:spacing w:val="4"/>
                <w:w w:val="101"/>
                <w:sz w:val="24"/>
                <w:szCs w:val="24"/>
              </w:rPr>
              <w:t>- с</w:t>
            </w:r>
            <w:r w:rsidR="00DF4FDF" w:rsidRPr="00DF4FDF">
              <w:rPr>
                <w:rFonts w:ascii="Times New Roman" w:hAnsi="Times New Roman" w:cs="Times New Roman"/>
                <w:spacing w:val="4"/>
                <w:w w:val="101"/>
                <w:sz w:val="24"/>
                <w:szCs w:val="24"/>
              </w:rPr>
              <w:t xml:space="preserve">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 </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u w:val="single"/>
              </w:rPr>
            </w:pPr>
            <w:r w:rsidRPr="00882DE7">
              <w:rPr>
                <w:rFonts w:ascii="Times New Roman" w:hAnsi="Times New Roman" w:cs="Times New Roman"/>
                <w:spacing w:val="4"/>
                <w:w w:val="101"/>
                <w:sz w:val="24"/>
                <w:szCs w:val="24"/>
                <w:u w:val="single"/>
              </w:rPr>
              <w:t xml:space="preserve">Согласно Приказа Кубанского БВУ № 79 - </w:t>
            </w:r>
            <w:proofErr w:type="spellStart"/>
            <w:r w:rsidRPr="00882DE7">
              <w:rPr>
                <w:rFonts w:ascii="Times New Roman" w:hAnsi="Times New Roman" w:cs="Times New Roman"/>
                <w:spacing w:val="4"/>
                <w:w w:val="101"/>
                <w:sz w:val="24"/>
                <w:szCs w:val="24"/>
                <w:u w:val="single"/>
              </w:rPr>
              <w:t>пр</w:t>
            </w:r>
            <w:proofErr w:type="spellEnd"/>
            <w:r w:rsidRPr="00882DE7">
              <w:rPr>
                <w:rFonts w:ascii="Times New Roman" w:hAnsi="Times New Roman" w:cs="Times New Roman"/>
                <w:spacing w:val="4"/>
                <w:w w:val="101"/>
                <w:sz w:val="24"/>
                <w:szCs w:val="24"/>
                <w:u w:val="single"/>
              </w:rPr>
              <w:t xml:space="preserve"> от 11.06.2021 г., данный земельный участок расположен в границе зоны затопления, при половодьях и паводках                         р. Кубань 1% обеспеченности.</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Российской Федерации:</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lastRenderedPageBreak/>
              <w:t xml:space="preserve">1) </w:t>
            </w:r>
            <w:proofErr w:type="spellStart"/>
            <w:r w:rsidRPr="00882DE7">
              <w:rPr>
                <w:rFonts w:ascii="Times New Roman" w:hAnsi="Times New Roman" w:cs="Times New Roman"/>
                <w:spacing w:val="4"/>
                <w:w w:val="101"/>
                <w:sz w:val="24"/>
                <w:szCs w:val="24"/>
              </w:rPr>
              <w:t>предпаводковые</w:t>
            </w:r>
            <w:proofErr w:type="spellEnd"/>
            <w:r w:rsidRPr="00882DE7">
              <w:rPr>
                <w:rFonts w:ascii="Times New Roman" w:hAnsi="Times New Roman" w:cs="Times New Roman"/>
                <w:spacing w:val="4"/>
                <w:w w:val="101"/>
                <w:sz w:val="24"/>
                <w:szCs w:val="24"/>
              </w:rPr>
              <w:t xml:space="preserve"> и послепаводковые обследования территорий, подверженных негативному воздействию вод, и водных объектов;</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2) ледокольные, ледорезные и иные работы по ослаблению прочности льда и ликвидации ледовых заторов;</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3) восстановление пропускной способности русел рек (дноуглубление и спрямление русел рек, расчистка водных объектов);</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 xml:space="preserve">4) </w:t>
            </w:r>
            <w:proofErr w:type="spellStart"/>
            <w:r w:rsidRPr="00882DE7">
              <w:rPr>
                <w:rFonts w:ascii="Times New Roman" w:hAnsi="Times New Roman" w:cs="Times New Roman"/>
                <w:spacing w:val="4"/>
                <w:w w:val="101"/>
                <w:sz w:val="24"/>
                <w:szCs w:val="24"/>
              </w:rPr>
              <w:t>уполаживание</w:t>
            </w:r>
            <w:proofErr w:type="spellEnd"/>
            <w:r w:rsidRPr="00882DE7">
              <w:rPr>
                <w:rFonts w:ascii="Times New Roman" w:hAnsi="Times New Roman" w:cs="Times New Roman"/>
                <w:spacing w:val="4"/>
                <w:w w:val="101"/>
                <w:sz w:val="24"/>
                <w:szCs w:val="24"/>
              </w:rPr>
              <w:t xml:space="preserve"> берегов водных объектов, их биогенное закрепление, укрепление песчано-гравийной и каменной наброской, террасирование склонов.</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части 4 статьи 67.1 Водного кодекса Российской Федерации,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В границах зон затопления, подтопления запрещаются:</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2) использование сточных вод в целях повышения почвенного плодородия;</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4) осуществление авиационных мер по борьбе с вредными организмами.</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 xml:space="preserve">Инженерная защита территорий и объектов от негативного воздействия вод (строительство </w:t>
            </w:r>
            <w:proofErr w:type="spellStart"/>
            <w:r w:rsidRPr="00882DE7">
              <w:rPr>
                <w:rFonts w:ascii="Times New Roman" w:hAnsi="Times New Roman" w:cs="Times New Roman"/>
                <w:spacing w:val="4"/>
                <w:w w:val="101"/>
                <w:sz w:val="24"/>
                <w:szCs w:val="24"/>
              </w:rPr>
              <w:t>водоограждающих</w:t>
            </w:r>
            <w:proofErr w:type="spellEnd"/>
            <w:r w:rsidRPr="00882DE7">
              <w:rPr>
                <w:rFonts w:ascii="Times New Roman" w:hAnsi="Times New Roman" w:cs="Times New Roman"/>
                <w:spacing w:val="4"/>
                <w:w w:val="101"/>
                <w:sz w:val="24"/>
                <w:szCs w:val="24"/>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w:t>
            </w:r>
            <w:r w:rsidRPr="00882DE7">
              <w:rPr>
                <w:rFonts w:ascii="Times New Roman" w:hAnsi="Times New Roman" w:cs="Times New Roman"/>
                <w:spacing w:val="4"/>
                <w:w w:val="101"/>
                <w:sz w:val="24"/>
                <w:szCs w:val="24"/>
              </w:rPr>
              <w:lastRenderedPageBreak/>
              <w:t>физическими лицами - правообладателями земельных участков, в отношении которых осуществляется такая защита.</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при размещении новых населённых пунктов и строительстве объектов капитального строительства.</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года № 384-ФЗ «Технический регламент о безопасности зданий и сооружений».</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(владельцами) смежных земельных участков.</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 xml:space="preserve">Перечень мероприятий, которые проводятся застройщиком в целях получения разрешительной документации на строительство (реконструкцию) и ввод в эксплуатацию объектов капитального строительства на земельных участках, которые находятся в границах зон затопления, подтопления: </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Подготовка застройщиком проектной документации, содержащей перечень мероприятий по инженерной защите объекта капитального строительства от затопления, подтопления, которая выполняется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lastRenderedPageBreak/>
              <w:t>До подачи в уполномоченный орган заявления о выдаче разрешения на строительство (реконструкцию) объекта капитального строительства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подготовленной лицами, указанными в подпункте  5.5.2 настоящей части.</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До подачи в уполномоченный орган заявления о выдаче разрешения на ввод объекта в эксплуатацию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выполнение работ в соответствии с документацией, предусмотренной подпунктом 5.5.2 настоящей части, и подписанного застройщиком и лицом, являющимся членом саморегулируемой организации в области архитектурно-строительного проектирования или членом саморегулируемой организации в области строительства, реконструкции объектов капитального строительства.</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Перечень мероприятий, которые проводятся застройщиком в целях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земельных участках, которые находятся в границах зон затопления, подтопления:</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 xml:space="preserve">Подготовка застройщиком документации, содержащей обоснование и описание решений по инженерной подготовке территории, в том числе решений по </w:t>
            </w:r>
            <w:r w:rsidRPr="00882DE7">
              <w:rPr>
                <w:rFonts w:ascii="Times New Roman" w:hAnsi="Times New Roman" w:cs="Times New Roman"/>
                <w:spacing w:val="4"/>
                <w:w w:val="101"/>
                <w:sz w:val="24"/>
                <w:szCs w:val="24"/>
              </w:rPr>
              <w:lastRenderedPageBreak/>
              <w:t>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которая выполняется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 объектов капитального строительства.</w:t>
            </w:r>
          </w:p>
          <w:p w:rsidR="00882DE7"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До подачи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подготовленной лицами, указанными в подпункте 5.6.2 настоящей части.</w:t>
            </w:r>
          </w:p>
          <w:p w:rsidR="00560BF9" w:rsidRPr="00882DE7" w:rsidRDefault="00882DE7" w:rsidP="00882DE7">
            <w:pPr>
              <w:autoSpaceDN w:val="0"/>
              <w:adjustRightInd w:val="0"/>
              <w:spacing w:line="200" w:lineRule="atLeast"/>
              <w:jc w:val="both"/>
              <w:textAlignment w:val="center"/>
              <w:rPr>
                <w:rFonts w:ascii="Times New Roman" w:hAnsi="Times New Roman" w:cs="Times New Roman"/>
                <w:spacing w:val="4"/>
                <w:w w:val="101"/>
                <w:sz w:val="24"/>
                <w:szCs w:val="24"/>
              </w:rPr>
            </w:pPr>
            <w:r w:rsidRPr="00882DE7">
              <w:rPr>
                <w:rFonts w:ascii="Times New Roman" w:hAnsi="Times New Roman" w:cs="Times New Roman"/>
                <w:spacing w:val="4"/>
                <w:w w:val="101"/>
                <w:sz w:val="24"/>
                <w:szCs w:val="24"/>
              </w:rPr>
              <w:t>До подачи в уполномоченный орган уведомления об окончании строительства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выполнение работ в соответствии с документацией, предусмотренной подпунктом 5.6.2 настоящей части, и подписанного застройщиком и лицом, являющимся членом саморегулируемой организации в области архитектурно-строительного проектирования или членом саморегулируемой организации в области строительства, реконструкции объектов капитального строительства.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9F2B67" w:rsidRPr="00E70492" w:rsidRDefault="003D0F2A" w:rsidP="00471C14">
            <w:pPr>
              <w:pStyle w:val="a3"/>
              <w:rPr>
                <w:rFonts w:ascii="Times New Roman" w:hAnsi="Times New Roman" w:cs="Times New Roman"/>
                <w:sz w:val="24"/>
                <w:szCs w:val="24"/>
              </w:rPr>
            </w:pPr>
            <w:r w:rsidRPr="003D0F2A">
              <w:rPr>
                <w:rFonts w:ascii="Times New Roman" w:hAnsi="Times New Roman" w:cs="Times New Roman"/>
                <w:sz w:val="24"/>
                <w:szCs w:val="24"/>
              </w:rPr>
              <w:t xml:space="preserve">736 530 </w:t>
            </w:r>
            <w:r w:rsidR="005623EF" w:rsidRPr="005623EF">
              <w:rPr>
                <w:rFonts w:ascii="Times New Roman" w:hAnsi="Times New Roman" w:cs="Times New Roman"/>
                <w:sz w:val="24"/>
                <w:szCs w:val="24"/>
              </w:rPr>
              <w:t xml:space="preserve">рублей </w:t>
            </w:r>
            <w:r>
              <w:rPr>
                <w:rFonts w:ascii="Times New Roman" w:hAnsi="Times New Roman" w:cs="Times New Roman"/>
                <w:sz w:val="24"/>
                <w:szCs w:val="24"/>
              </w:rPr>
              <w:t>0</w:t>
            </w:r>
            <w:r w:rsidR="005623EF" w:rsidRPr="005623EF">
              <w:rPr>
                <w:rFonts w:ascii="Times New Roman" w:hAnsi="Times New Roman" w:cs="Times New Roman"/>
                <w:sz w:val="24"/>
                <w:szCs w:val="24"/>
              </w:rPr>
              <w:t>0 копеек</w:t>
            </w:r>
            <w:r w:rsidR="005623EF" w:rsidRPr="00E70492">
              <w:rPr>
                <w:rFonts w:ascii="Times New Roman" w:hAnsi="Times New Roman" w:cs="Times New Roman"/>
                <w:sz w:val="24"/>
                <w:szCs w:val="24"/>
              </w:rPr>
              <w:t xml:space="preserve"> </w:t>
            </w:r>
            <w:r w:rsidR="005E5BD2" w:rsidRPr="00E70492">
              <w:rPr>
                <w:rFonts w:ascii="Times New Roman" w:hAnsi="Times New Roman" w:cs="Times New Roman"/>
                <w:sz w:val="24"/>
                <w:szCs w:val="24"/>
              </w:rPr>
              <w:t xml:space="preserve">(Протокол </w:t>
            </w:r>
            <w:r w:rsidR="007829CD" w:rsidRPr="00820DDA">
              <w:rPr>
                <w:rFonts w:ascii="Times New Roman" w:hAnsi="Times New Roman" w:cs="Times New Roman"/>
                <w:sz w:val="24"/>
                <w:szCs w:val="24"/>
              </w:rPr>
              <w:t xml:space="preserve">заседания Комиссии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 </w:t>
            </w:r>
            <w:r w:rsidR="004C3BA0">
              <w:rPr>
                <w:rFonts w:ascii="Times New Roman" w:hAnsi="Times New Roman" w:cs="Times New Roman"/>
                <w:sz w:val="24"/>
                <w:szCs w:val="24"/>
              </w:rPr>
              <w:t xml:space="preserve">от  </w:t>
            </w:r>
            <w:r w:rsidR="00560BF9">
              <w:rPr>
                <w:rFonts w:ascii="Times New Roman" w:hAnsi="Times New Roman" w:cs="Times New Roman"/>
                <w:sz w:val="24"/>
                <w:szCs w:val="24"/>
              </w:rPr>
              <w:t>08 сентября</w:t>
            </w:r>
            <w:r w:rsidR="007829CD" w:rsidRPr="00820DDA">
              <w:rPr>
                <w:rFonts w:ascii="Times New Roman" w:hAnsi="Times New Roman" w:cs="Times New Roman"/>
                <w:sz w:val="24"/>
                <w:szCs w:val="24"/>
              </w:rPr>
              <w:t xml:space="preserve"> 2023 года № </w:t>
            </w:r>
            <w:r w:rsidR="00560BF9">
              <w:rPr>
                <w:rFonts w:ascii="Times New Roman" w:hAnsi="Times New Roman" w:cs="Times New Roman"/>
                <w:sz w:val="24"/>
                <w:szCs w:val="24"/>
              </w:rPr>
              <w:t>30</w:t>
            </w:r>
            <w:r w:rsidR="005E5BD2" w:rsidRPr="00820DDA">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E70492" w:rsidRDefault="003D0F2A" w:rsidP="005E5BD2">
            <w:pPr>
              <w:pStyle w:val="a3"/>
              <w:rPr>
                <w:rFonts w:ascii="Times New Roman" w:hAnsi="Times New Roman" w:cs="Times New Roman"/>
                <w:sz w:val="24"/>
                <w:szCs w:val="24"/>
              </w:rPr>
            </w:pPr>
            <w:r w:rsidRPr="003D0F2A">
              <w:rPr>
                <w:rFonts w:ascii="Times New Roman" w:hAnsi="Times New Roman" w:cs="Times New Roman"/>
                <w:sz w:val="24"/>
                <w:szCs w:val="24"/>
              </w:rPr>
              <w:t xml:space="preserve">22 095 </w:t>
            </w:r>
            <w:r w:rsidR="005E5BD2" w:rsidRPr="00E70492">
              <w:rPr>
                <w:rFonts w:ascii="Times New Roman" w:hAnsi="Times New Roman" w:cs="Times New Roman"/>
                <w:sz w:val="24"/>
                <w:szCs w:val="24"/>
              </w:rPr>
              <w:t xml:space="preserve">рублей </w:t>
            </w:r>
            <w:r>
              <w:rPr>
                <w:rFonts w:ascii="Times New Roman" w:hAnsi="Times New Roman" w:cs="Times New Roman"/>
                <w:sz w:val="24"/>
                <w:szCs w:val="24"/>
              </w:rPr>
              <w:t>90 копеек</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5E5BD2" w:rsidRPr="00E70492" w:rsidRDefault="003D0F2A" w:rsidP="00B7675D">
            <w:pPr>
              <w:pStyle w:val="a3"/>
              <w:rPr>
                <w:rFonts w:ascii="Times New Roman" w:hAnsi="Times New Roman" w:cs="Times New Roman"/>
                <w:sz w:val="24"/>
                <w:szCs w:val="24"/>
              </w:rPr>
            </w:pPr>
            <w:r w:rsidRPr="003D0F2A">
              <w:rPr>
                <w:rFonts w:ascii="Times New Roman" w:hAnsi="Times New Roman" w:cs="Times New Roman"/>
                <w:sz w:val="24"/>
                <w:szCs w:val="24"/>
              </w:rPr>
              <w:t xml:space="preserve">736 530 </w:t>
            </w:r>
            <w:r w:rsidR="00B7675D" w:rsidRPr="00E70492">
              <w:rPr>
                <w:rFonts w:ascii="Times New Roman" w:hAnsi="Times New Roman" w:cs="Times New Roman"/>
                <w:sz w:val="24"/>
                <w:szCs w:val="24"/>
              </w:rPr>
              <w:t>рублей</w:t>
            </w:r>
            <w:r w:rsidR="00882DE7">
              <w:rPr>
                <w:rFonts w:ascii="Times New Roman" w:hAnsi="Times New Roman" w:cs="Times New Roman"/>
                <w:sz w:val="24"/>
                <w:szCs w:val="24"/>
              </w:rPr>
              <w:t xml:space="preserve"> </w:t>
            </w:r>
            <w:r>
              <w:rPr>
                <w:rFonts w:ascii="Times New Roman" w:hAnsi="Times New Roman" w:cs="Times New Roman"/>
                <w:sz w:val="24"/>
                <w:szCs w:val="24"/>
              </w:rPr>
              <w:t>0</w:t>
            </w:r>
            <w:r w:rsidR="00882DE7">
              <w:rPr>
                <w:rFonts w:ascii="Times New Roman" w:hAnsi="Times New Roman" w:cs="Times New Roman"/>
                <w:sz w:val="24"/>
                <w:szCs w:val="24"/>
              </w:rPr>
              <w:t>0 копеек</w:t>
            </w:r>
            <w:r w:rsidR="00B7675D" w:rsidRPr="00E70492">
              <w:rPr>
                <w:rFonts w:ascii="Times New Roman" w:hAnsi="Times New Roman" w:cs="Times New Roman"/>
                <w:sz w:val="24"/>
                <w:szCs w:val="24"/>
              </w:rPr>
              <w:t xml:space="preserve"> </w:t>
            </w:r>
            <w:r w:rsidR="005E5BD2" w:rsidRPr="00E7049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7F3921" w:rsidRPr="003A599D" w:rsidRDefault="007F3921" w:rsidP="007F3921">
            <w:pPr>
              <w:autoSpaceDN w:val="0"/>
              <w:adjustRightInd w:val="0"/>
              <w:spacing w:line="200" w:lineRule="atLeast"/>
              <w:jc w:val="both"/>
              <w:textAlignment w:val="center"/>
              <w:rPr>
                <w:rFonts w:ascii="Times New Roman" w:hAnsi="Times New Roman" w:cs="Times New Roman"/>
                <w:spacing w:val="4"/>
                <w:w w:val="101"/>
                <w:sz w:val="24"/>
                <w:szCs w:val="24"/>
              </w:rPr>
            </w:pPr>
            <w:r w:rsidRPr="003A599D">
              <w:rPr>
                <w:rFonts w:ascii="Times New Roman" w:hAnsi="Times New Roman" w:cs="Times New Roman"/>
                <w:spacing w:val="4"/>
                <w:w w:val="101"/>
                <w:sz w:val="24"/>
                <w:szCs w:val="24"/>
              </w:rPr>
              <w:t>Подключение к электрическим сетям филиала АО «</w:t>
            </w:r>
            <w:r w:rsidR="00F6312E">
              <w:rPr>
                <w:rFonts w:ascii="Times New Roman" w:hAnsi="Times New Roman" w:cs="Times New Roman"/>
                <w:spacing w:val="4"/>
                <w:w w:val="101"/>
                <w:sz w:val="24"/>
                <w:szCs w:val="24"/>
              </w:rPr>
              <w:t>Электросети Кубани» «Новокубанскэлектросеть</w:t>
            </w:r>
            <w:r w:rsidRPr="003A599D">
              <w:rPr>
                <w:rFonts w:ascii="Times New Roman" w:hAnsi="Times New Roman" w:cs="Times New Roman"/>
                <w:spacing w:val="4"/>
                <w:w w:val="101"/>
                <w:sz w:val="24"/>
                <w:szCs w:val="24"/>
              </w:rPr>
              <w:t xml:space="preserve">» может быть осуществлено на основании Постановления Правительства РФ от 27.12.2004 года № 861 при выполнении определенных технических условий. Объем свободной мощности для присоединения на ближайшей </w:t>
            </w:r>
            <w:r w:rsidR="003D0F2A">
              <w:rPr>
                <w:rFonts w:ascii="Times New Roman" w:hAnsi="Times New Roman" w:cs="Times New Roman"/>
                <w:spacing w:val="4"/>
                <w:w w:val="101"/>
                <w:sz w:val="24"/>
                <w:szCs w:val="24"/>
              </w:rPr>
              <w:t>К</w:t>
            </w:r>
            <w:r w:rsidRPr="003A599D">
              <w:rPr>
                <w:rFonts w:ascii="Times New Roman" w:hAnsi="Times New Roman" w:cs="Times New Roman"/>
                <w:spacing w:val="4"/>
                <w:w w:val="101"/>
                <w:sz w:val="24"/>
                <w:szCs w:val="24"/>
              </w:rPr>
              <w:t>ТП-</w:t>
            </w:r>
            <w:r w:rsidR="00882DE7">
              <w:rPr>
                <w:rFonts w:ascii="Times New Roman" w:hAnsi="Times New Roman" w:cs="Times New Roman"/>
                <w:spacing w:val="4"/>
                <w:w w:val="101"/>
                <w:sz w:val="24"/>
                <w:szCs w:val="24"/>
              </w:rPr>
              <w:t>6</w:t>
            </w:r>
            <w:r w:rsidR="003D0F2A">
              <w:rPr>
                <w:rFonts w:ascii="Times New Roman" w:hAnsi="Times New Roman" w:cs="Times New Roman"/>
                <w:spacing w:val="4"/>
                <w:w w:val="101"/>
                <w:sz w:val="24"/>
                <w:szCs w:val="24"/>
              </w:rPr>
              <w:t>1</w:t>
            </w:r>
            <w:r w:rsidRPr="003A599D">
              <w:rPr>
                <w:rFonts w:ascii="Times New Roman" w:hAnsi="Times New Roman" w:cs="Times New Roman"/>
                <w:spacing w:val="4"/>
                <w:w w:val="101"/>
                <w:sz w:val="24"/>
                <w:szCs w:val="24"/>
              </w:rPr>
              <w:t xml:space="preserve"> составляет 0 кВт. </w:t>
            </w:r>
          </w:p>
          <w:p w:rsidR="00FC3E0E" w:rsidRPr="003D0F2A" w:rsidRDefault="00FC3E0E" w:rsidP="00882DE7">
            <w:pPr>
              <w:pStyle w:val="20"/>
              <w:shd w:val="clear" w:color="auto" w:fill="auto"/>
              <w:spacing w:after="0" w:line="254" w:lineRule="exact"/>
              <w:jc w:val="both"/>
              <w:rPr>
                <w:rStyle w:val="210pt"/>
              </w:rPr>
            </w:pPr>
            <w:r w:rsidRPr="00464882">
              <w:rPr>
                <w:rFonts w:eastAsiaTheme="minorHAnsi"/>
                <w:spacing w:val="4"/>
                <w:w w:val="101"/>
                <w:sz w:val="24"/>
                <w:szCs w:val="24"/>
              </w:rPr>
              <w:t xml:space="preserve">Согласно информации ООО «Газпром трансгаз Краснодар», </w:t>
            </w:r>
            <w:r w:rsidRPr="005623EF">
              <w:rPr>
                <w:rFonts w:eastAsiaTheme="minorHAnsi"/>
                <w:spacing w:val="4"/>
                <w:w w:val="101"/>
                <w:sz w:val="24"/>
                <w:szCs w:val="24"/>
              </w:rPr>
              <w:t xml:space="preserve">Техническая возможность подключения к сетям газораспределения </w:t>
            </w:r>
            <w:r w:rsidR="00882DE7">
              <w:rPr>
                <w:rFonts w:eastAsiaTheme="minorHAnsi"/>
                <w:spacing w:val="4"/>
                <w:w w:val="101"/>
                <w:sz w:val="24"/>
                <w:szCs w:val="24"/>
              </w:rPr>
              <w:t xml:space="preserve">имеется при условии строительства сетей газораспределения. Срок подключения </w:t>
            </w:r>
            <w:r w:rsidR="005E00B0">
              <w:rPr>
                <w:rFonts w:eastAsiaTheme="minorHAnsi"/>
                <w:spacing w:val="4"/>
                <w:w w:val="101"/>
                <w:sz w:val="24"/>
                <w:szCs w:val="24"/>
              </w:rPr>
              <w:t xml:space="preserve">объекта капитального строительства к сетям инженерно-технического обеспечения </w:t>
            </w:r>
            <w:r w:rsidR="00882DE7">
              <w:rPr>
                <w:rFonts w:eastAsiaTheme="minorHAnsi"/>
                <w:spacing w:val="4"/>
                <w:w w:val="101"/>
                <w:sz w:val="24"/>
                <w:szCs w:val="24"/>
              </w:rPr>
              <w:t>определяется в соответствии с п. 53 Правил, утвержденных постановлением Правительства РФ от 13.09.2021 г. № 1547.</w:t>
            </w:r>
            <w:r w:rsidR="00F9560B">
              <w:rPr>
                <w:rFonts w:eastAsiaTheme="minorHAnsi"/>
                <w:spacing w:val="4"/>
                <w:w w:val="101"/>
                <w:sz w:val="24"/>
                <w:szCs w:val="24"/>
              </w:rPr>
              <w:t xml:space="preserve"> </w:t>
            </w:r>
            <w:r w:rsidR="003D0F2A">
              <w:rPr>
                <w:rFonts w:eastAsiaTheme="minorHAnsi"/>
                <w:spacing w:val="4"/>
                <w:w w:val="101"/>
                <w:sz w:val="24"/>
                <w:szCs w:val="24"/>
              </w:rPr>
              <w:t>Максимальная нагрузка на сеть до 7 м</w:t>
            </w:r>
            <w:r w:rsidR="003D0F2A">
              <w:rPr>
                <w:rFonts w:eastAsiaTheme="minorHAnsi"/>
                <w:spacing w:val="4"/>
                <w:w w:val="101"/>
                <w:sz w:val="24"/>
                <w:szCs w:val="24"/>
                <w:vertAlign w:val="superscript"/>
              </w:rPr>
              <w:t>3</w:t>
            </w:r>
            <w:r w:rsidR="003D0F2A">
              <w:rPr>
                <w:rFonts w:eastAsiaTheme="minorHAnsi"/>
                <w:spacing w:val="4"/>
                <w:w w:val="101"/>
                <w:sz w:val="24"/>
                <w:szCs w:val="24"/>
              </w:rPr>
              <w:t>.</w:t>
            </w:r>
            <w:r w:rsidR="005E00B0">
              <w:rPr>
                <w:rFonts w:eastAsiaTheme="minorHAnsi"/>
                <w:spacing w:val="4"/>
                <w:w w:val="101"/>
                <w:sz w:val="24"/>
                <w:szCs w:val="24"/>
              </w:rPr>
              <w:t xml:space="preserve"> Срок действия технических условий и плата за подключение (технологическое присоединение) определяется согласно приказа № 36/2022-газ от 28.12.2002 г. РЭК-департамент цен и тарифов Краснодарского края.</w:t>
            </w:r>
          </w:p>
          <w:p w:rsidR="005E00B0" w:rsidRDefault="005E00B0" w:rsidP="00F9560B">
            <w:pPr>
              <w:pStyle w:val="20"/>
              <w:shd w:val="clear" w:color="auto" w:fill="auto"/>
              <w:spacing w:after="0" w:line="250" w:lineRule="exact"/>
              <w:jc w:val="both"/>
              <w:rPr>
                <w:sz w:val="24"/>
                <w:szCs w:val="24"/>
              </w:rPr>
            </w:pPr>
            <w:r>
              <w:rPr>
                <w:sz w:val="24"/>
                <w:szCs w:val="24"/>
              </w:rPr>
              <w:t xml:space="preserve">Точка </w:t>
            </w:r>
            <w:r w:rsidR="00F6312E">
              <w:rPr>
                <w:sz w:val="24"/>
                <w:szCs w:val="24"/>
              </w:rPr>
              <w:t>подключения (технологического присоединения) к централизованной системе холодного водоснабжения</w:t>
            </w:r>
            <w:r>
              <w:rPr>
                <w:sz w:val="24"/>
                <w:szCs w:val="24"/>
              </w:rPr>
              <w:t xml:space="preserve"> – водопровод по ул. Волгоградская, Д=63мм. Максимальная нагрузка 0,19 м</w:t>
            </w:r>
            <w:r>
              <w:rPr>
                <w:sz w:val="24"/>
                <w:szCs w:val="24"/>
                <w:vertAlign w:val="superscript"/>
              </w:rPr>
              <w:t>3</w:t>
            </w:r>
            <w:r>
              <w:rPr>
                <w:sz w:val="24"/>
                <w:szCs w:val="24"/>
              </w:rPr>
              <w:t>/</w:t>
            </w:r>
            <w:proofErr w:type="spellStart"/>
            <w:r>
              <w:rPr>
                <w:sz w:val="24"/>
                <w:szCs w:val="24"/>
              </w:rPr>
              <w:t>сут</w:t>
            </w:r>
            <w:proofErr w:type="spellEnd"/>
            <w:r>
              <w:rPr>
                <w:sz w:val="24"/>
                <w:szCs w:val="24"/>
              </w:rPr>
              <w:t>. на одного человека.</w:t>
            </w:r>
          </w:p>
          <w:p w:rsidR="00076C50" w:rsidRDefault="00F9560B" w:rsidP="00F9560B">
            <w:pPr>
              <w:pStyle w:val="20"/>
              <w:shd w:val="clear" w:color="auto" w:fill="auto"/>
              <w:spacing w:after="0" w:line="250" w:lineRule="exact"/>
              <w:jc w:val="both"/>
              <w:rPr>
                <w:sz w:val="24"/>
                <w:szCs w:val="24"/>
              </w:rPr>
            </w:pPr>
            <w:r>
              <w:rPr>
                <w:sz w:val="24"/>
                <w:szCs w:val="24"/>
              </w:rPr>
              <w:t xml:space="preserve"> </w:t>
            </w:r>
            <w:r w:rsidR="005E00B0">
              <w:rPr>
                <w:sz w:val="24"/>
                <w:szCs w:val="24"/>
              </w:rPr>
              <w:t xml:space="preserve">Возможность присоединения к сетям </w:t>
            </w:r>
            <w:r>
              <w:rPr>
                <w:sz w:val="24"/>
                <w:szCs w:val="24"/>
              </w:rPr>
              <w:t>водоотведения отсутствует.</w:t>
            </w:r>
          </w:p>
          <w:p w:rsidR="005E00B0" w:rsidRDefault="005E00B0" w:rsidP="00F9560B">
            <w:pPr>
              <w:pStyle w:val="20"/>
              <w:shd w:val="clear" w:color="auto" w:fill="auto"/>
              <w:spacing w:after="0" w:line="250" w:lineRule="exact"/>
              <w:jc w:val="both"/>
              <w:rPr>
                <w:sz w:val="24"/>
                <w:szCs w:val="24"/>
              </w:rPr>
            </w:pPr>
            <w:r>
              <w:rPr>
                <w:sz w:val="24"/>
                <w:szCs w:val="24"/>
              </w:rPr>
              <w:t xml:space="preserve">Срок подключения объекта капитального строительства к сетям инженерно-технического обеспечения определяется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РФ № 2130 от 30.11.2021 г. </w:t>
            </w:r>
          </w:p>
          <w:p w:rsidR="005E00B0" w:rsidRDefault="005E00B0" w:rsidP="00F9560B">
            <w:pPr>
              <w:pStyle w:val="20"/>
              <w:shd w:val="clear" w:color="auto" w:fill="auto"/>
              <w:spacing w:after="0" w:line="250" w:lineRule="exact"/>
              <w:jc w:val="both"/>
              <w:rPr>
                <w:sz w:val="24"/>
                <w:szCs w:val="24"/>
              </w:rPr>
            </w:pPr>
            <w:r>
              <w:rPr>
                <w:sz w:val="24"/>
                <w:szCs w:val="24"/>
              </w:rPr>
              <w:t xml:space="preserve">Расчет платы за подключение (технологическое присоединение) определяется в соответствии с Федеральным законом № 416 от 07 декабря 2011 г. «О </w:t>
            </w:r>
            <w:r w:rsidR="006B00C5">
              <w:rPr>
                <w:sz w:val="24"/>
                <w:szCs w:val="24"/>
              </w:rPr>
              <w:t>водоснабжении и водоотведении».</w:t>
            </w:r>
          </w:p>
          <w:p w:rsidR="006B00C5" w:rsidRPr="00E70492" w:rsidRDefault="006B00C5" w:rsidP="00F9560B">
            <w:pPr>
              <w:pStyle w:val="20"/>
              <w:shd w:val="clear" w:color="auto" w:fill="auto"/>
              <w:spacing w:after="0" w:line="250" w:lineRule="exact"/>
              <w:jc w:val="both"/>
              <w:rPr>
                <w:sz w:val="24"/>
                <w:szCs w:val="24"/>
              </w:rPr>
            </w:pPr>
            <w:r>
              <w:rPr>
                <w:sz w:val="24"/>
                <w:szCs w:val="24"/>
              </w:rPr>
              <w:t xml:space="preserve">Срок действия технических условий 3 года. </w:t>
            </w:r>
          </w:p>
        </w:tc>
      </w:tr>
      <w:tr w:rsidR="009F2B67" w:rsidTr="003B0656">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shd w:val="clear" w:color="auto" w:fill="FFFFFF" w:themeFill="background1"/>
          </w:tcPr>
          <w:p w:rsidR="00231A87"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 xml:space="preserve">Параметры разрешенного строительства: предельное количество надземных этажей здания – </w:t>
            </w:r>
            <w:r w:rsidR="00F9560B">
              <w:rPr>
                <w:rFonts w:ascii="Times New Roman" w:hAnsi="Times New Roman" w:cs="Times New Roman"/>
                <w:sz w:val="24"/>
                <w:szCs w:val="24"/>
              </w:rPr>
              <w:t>3</w:t>
            </w:r>
            <w:r w:rsidRPr="00F6312E">
              <w:rPr>
                <w:rFonts w:ascii="Times New Roman" w:hAnsi="Times New Roman" w:cs="Times New Roman"/>
                <w:sz w:val="24"/>
                <w:szCs w:val="24"/>
              </w:rPr>
              <w:t xml:space="preserve">, </w:t>
            </w:r>
          </w:p>
          <w:p w:rsidR="00231A87" w:rsidRPr="00F6312E" w:rsidRDefault="00231A87" w:rsidP="005E5BD2">
            <w:pPr>
              <w:pStyle w:val="a3"/>
              <w:rPr>
                <w:rFonts w:ascii="Times New Roman" w:hAnsi="Times New Roman" w:cs="Times New Roman"/>
                <w:sz w:val="24"/>
                <w:szCs w:val="24"/>
              </w:rPr>
            </w:pPr>
            <w:r w:rsidRPr="00F6312E">
              <w:rPr>
                <w:rFonts w:ascii="Times New Roman" w:hAnsi="Times New Roman" w:cs="Times New Roman"/>
                <w:sz w:val="24"/>
                <w:szCs w:val="24"/>
              </w:rPr>
              <w:t>максимальная</w:t>
            </w:r>
            <w:r w:rsidR="005E5BD2" w:rsidRPr="00F6312E">
              <w:rPr>
                <w:rFonts w:ascii="Times New Roman" w:hAnsi="Times New Roman" w:cs="Times New Roman"/>
                <w:sz w:val="24"/>
                <w:szCs w:val="24"/>
              </w:rPr>
              <w:t xml:space="preserve"> высота </w:t>
            </w:r>
            <w:r w:rsidRPr="00F6312E">
              <w:rPr>
                <w:rFonts w:ascii="Times New Roman" w:hAnsi="Times New Roman" w:cs="Times New Roman"/>
                <w:sz w:val="24"/>
                <w:szCs w:val="24"/>
              </w:rPr>
              <w:t xml:space="preserve">(до конька) </w:t>
            </w:r>
            <w:r w:rsidR="005E5BD2" w:rsidRPr="00F6312E">
              <w:rPr>
                <w:rFonts w:ascii="Times New Roman" w:hAnsi="Times New Roman" w:cs="Times New Roman"/>
                <w:sz w:val="24"/>
                <w:szCs w:val="24"/>
              </w:rPr>
              <w:t>– 2</w:t>
            </w:r>
            <w:r w:rsidR="00D6643A" w:rsidRPr="00F6312E">
              <w:rPr>
                <w:rFonts w:ascii="Times New Roman" w:hAnsi="Times New Roman" w:cs="Times New Roman"/>
                <w:sz w:val="24"/>
                <w:szCs w:val="24"/>
              </w:rPr>
              <w:t>0</w:t>
            </w:r>
            <w:r w:rsidR="005E5BD2" w:rsidRPr="00F6312E">
              <w:rPr>
                <w:rFonts w:ascii="Times New Roman" w:hAnsi="Times New Roman" w:cs="Times New Roman"/>
                <w:sz w:val="24"/>
                <w:szCs w:val="24"/>
              </w:rPr>
              <w:t xml:space="preserve"> м, </w:t>
            </w:r>
          </w:p>
          <w:p w:rsidR="005E5BD2"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 xml:space="preserve">максимальный процент </w:t>
            </w:r>
            <w:r w:rsidR="00231A87" w:rsidRPr="00F6312E">
              <w:rPr>
                <w:rFonts w:ascii="Times New Roman" w:hAnsi="Times New Roman" w:cs="Times New Roman"/>
                <w:sz w:val="24"/>
                <w:szCs w:val="24"/>
              </w:rPr>
              <w:t>(процент застройки подземной части не регламентируется)</w:t>
            </w:r>
            <w:r w:rsidRPr="00F6312E">
              <w:rPr>
                <w:rFonts w:ascii="Times New Roman" w:hAnsi="Times New Roman" w:cs="Times New Roman"/>
                <w:sz w:val="24"/>
                <w:szCs w:val="24"/>
              </w:rPr>
              <w:t xml:space="preserve"> – </w:t>
            </w:r>
            <w:r w:rsidR="00F66C21">
              <w:rPr>
                <w:rFonts w:ascii="Times New Roman" w:hAnsi="Times New Roman" w:cs="Times New Roman"/>
                <w:sz w:val="24"/>
                <w:szCs w:val="24"/>
              </w:rPr>
              <w:t>6</w:t>
            </w:r>
            <w:r w:rsidR="00F9560B">
              <w:rPr>
                <w:rFonts w:ascii="Times New Roman" w:hAnsi="Times New Roman" w:cs="Times New Roman"/>
                <w:sz w:val="24"/>
                <w:szCs w:val="24"/>
              </w:rPr>
              <w:t>0</w:t>
            </w:r>
            <w:r w:rsidR="00F66C21">
              <w:rPr>
                <w:rFonts w:ascii="Times New Roman" w:hAnsi="Times New Roman" w:cs="Times New Roman"/>
                <w:sz w:val="24"/>
                <w:szCs w:val="24"/>
              </w:rPr>
              <w:t xml:space="preserve"> </w:t>
            </w:r>
            <w:r w:rsidRPr="00F6312E">
              <w:rPr>
                <w:rFonts w:ascii="Times New Roman" w:hAnsi="Times New Roman" w:cs="Times New Roman"/>
                <w:sz w:val="24"/>
                <w:szCs w:val="24"/>
              </w:rPr>
              <w:t>%.</w:t>
            </w:r>
          </w:p>
          <w:p w:rsidR="00124A58"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w:t>
            </w:r>
          </w:p>
          <w:p w:rsidR="00124A58" w:rsidRPr="00F6312E" w:rsidRDefault="00124A58" w:rsidP="00124A58">
            <w:pPr>
              <w:rPr>
                <w:rFonts w:ascii="Times New Roman" w:hAnsi="Times New Roman" w:cs="Times New Roman"/>
                <w:sz w:val="24"/>
                <w:szCs w:val="24"/>
              </w:rPr>
            </w:pPr>
            <w:r w:rsidRPr="00F6312E">
              <w:rPr>
                <w:rFonts w:ascii="Times New Roman" w:hAnsi="Times New Roman" w:cs="Times New Roman"/>
                <w:sz w:val="24"/>
                <w:szCs w:val="24"/>
              </w:rPr>
              <w:t>5 м - от красной линии улиц (в новых микрорайонах), в застроенной территории по существующей линии застройки);</w:t>
            </w:r>
          </w:p>
          <w:p w:rsidR="00124A58" w:rsidRPr="00F6312E" w:rsidRDefault="003902CF" w:rsidP="00124A58">
            <w:pPr>
              <w:rPr>
                <w:rFonts w:ascii="Times New Roman" w:hAnsi="Times New Roman" w:cs="Times New Roman"/>
                <w:sz w:val="24"/>
                <w:szCs w:val="24"/>
              </w:rPr>
            </w:pPr>
            <w:r w:rsidRPr="00F6312E">
              <w:rPr>
                <w:rFonts w:ascii="Times New Roman" w:hAnsi="Times New Roman" w:cs="Times New Roman"/>
                <w:sz w:val="24"/>
                <w:szCs w:val="24"/>
              </w:rPr>
              <w:t>3</w:t>
            </w:r>
            <w:r w:rsidR="00124A58" w:rsidRPr="00F6312E">
              <w:rPr>
                <w:rFonts w:ascii="Times New Roman" w:hAnsi="Times New Roman" w:cs="Times New Roman"/>
                <w:sz w:val="24"/>
                <w:szCs w:val="24"/>
              </w:rPr>
              <w:t xml:space="preserve"> м - от красных линий проездов, (в застроенной территории по существующей линии застройки);</w:t>
            </w:r>
          </w:p>
          <w:p w:rsidR="009F2B67" w:rsidRDefault="00124A58" w:rsidP="00124A58">
            <w:pPr>
              <w:pStyle w:val="a3"/>
              <w:rPr>
                <w:rFonts w:ascii="Times New Roman" w:hAnsi="Times New Roman" w:cs="Times New Roman"/>
                <w:sz w:val="24"/>
                <w:szCs w:val="24"/>
              </w:rPr>
            </w:pPr>
            <w:r w:rsidRPr="00F6312E">
              <w:rPr>
                <w:rFonts w:ascii="Times New Roman" w:hAnsi="Times New Roman" w:cs="Times New Roman"/>
                <w:sz w:val="24"/>
                <w:szCs w:val="24"/>
              </w:rPr>
              <w:t>3 м – от границ смежных земельных участков, (0 м - при блокировке)</w:t>
            </w:r>
          </w:p>
          <w:p w:rsidR="00471C14" w:rsidRPr="00F6312E" w:rsidRDefault="003B0656" w:rsidP="003B0656">
            <w:pPr>
              <w:pStyle w:val="a3"/>
              <w:rPr>
                <w:rFonts w:ascii="Times New Roman" w:hAnsi="Times New Roman" w:cs="Times New Roman"/>
                <w:sz w:val="24"/>
                <w:szCs w:val="24"/>
              </w:rPr>
            </w:pPr>
            <w:r>
              <w:rPr>
                <w:rFonts w:ascii="Times New Roman" w:hAnsi="Times New Roman" w:cs="Times New Roman"/>
                <w:sz w:val="24"/>
                <w:szCs w:val="24"/>
              </w:rPr>
              <w:t xml:space="preserve">Максимальная площадь застройки </w:t>
            </w:r>
            <w:r w:rsidR="00F66C21">
              <w:rPr>
                <w:rFonts w:ascii="Times New Roman" w:hAnsi="Times New Roman" w:cs="Times New Roman"/>
                <w:sz w:val="24"/>
                <w:szCs w:val="24"/>
              </w:rPr>
              <w:t>–</w:t>
            </w:r>
            <w:r>
              <w:rPr>
                <w:rFonts w:ascii="Times New Roman" w:hAnsi="Times New Roman" w:cs="Times New Roman"/>
                <w:sz w:val="24"/>
                <w:szCs w:val="24"/>
              </w:rPr>
              <w:t xml:space="preserve"> </w:t>
            </w:r>
            <w:r w:rsidR="006B00C5">
              <w:rPr>
                <w:rFonts w:ascii="Times New Roman" w:hAnsi="Times New Roman" w:cs="Times New Roman"/>
                <w:sz w:val="24"/>
                <w:szCs w:val="24"/>
              </w:rPr>
              <w:t>900</w:t>
            </w:r>
            <w:r>
              <w:rPr>
                <w:rFonts w:ascii="Times New Roman" w:hAnsi="Times New Roman" w:cs="Times New Roman"/>
                <w:sz w:val="24"/>
                <w:szCs w:val="24"/>
              </w:rPr>
              <w:t xml:space="preserve"> квадратных метров. </w:t>
            </w:r>
            <w:r>
              <w:rPr>
                <w:rFonts w:ascii="Times New Roman" w:hAnsi="Times New Roman" w:cs="Times New Roman"/>
                <w:sz w:val="24"/>
                <w:szCs w:val="24"/>
              </w:rPr>
              <w:lastRenderedPageBreak/>
              <w:t xml:space="preserve">Максимальная площадь объекта капитального строительства возможна до </w:t>
            </w:r>
            <w:r w:rsidR="006B00C5">
              <w:rPr>
                <w:rFonts w:ascii="Times New Roman" w:hAnsi="Times New Roman" w:cs="Times New Roman"/>
                <w:sz w:val="24"/>
                <w:szCs w:val="24"/>
              </w:rPr>
              <w:t>2700</w:t>
            </w:r>
            <w:r w:rsidR="00F66C21">
              <w:rPr>
                <w:rFonts w:ascii="Times New Roman" w:hAnsi="Times New Roman" w:cs="Times New Roman"/>
                <w:sz w:val="24"/>
                <w:szCs w:val="24"/>
              </w:rPr>
              <w:t xml:space="preserve"> </w:t>
            </w:r>
            <w:r>
              <w:rPr>
                <w:rFonts w:ascii="Times New Roman" w:hAnsi="Times New Roman" w:cs="Times New Roman"/>
                <w:sz w:val="24"/>
                <w:szCs w:val="24"/>
              </w:rPr>
              <w:t xml:space="preserve"> кв.м. при условии соблюдения градостроительных норм.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 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w:t>
            </w:r>
            <w:r w:rsidRPr="00E70492">
              <w:rPr>
                <w:rFonts w:ascii="Times New Roman" w:hAnsi="Times New Roman" w:cs="Times New Roman"/>
                <w:sz w:val="24"/>
                <w:szCs w:val="24"/>
              </w:rPr>
              <w:lastRenderedPageBreak/>
              <w:t>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8C6364" w:rsidP="000B0EEB">
            <w:pPr>
              <w:pStyle w:val="a3"/>
              <w:rPr>
                <w:rFonts w:ascii="Times New Roman" w:hAnsi="Times New Roman" w:cs="Times New Roman"/>
                <w:sz w:val="24"/>
                <w:szCs w:val="24"/>
              </w:rPr>
            </w:pPr>
            <w:r>
              <w:rPr>
                <w:rFonts w:ascii="Times New Roman" w:hAnsi="Times New Roman" w:cs="Times New Roman"/>
                <w:sz w:val="24"/>
                <w:szCs w:val="24"/>
              </w:rPr>
              <w:t>С</w:t>
            </w:r>
            <w:r w:rsidR="000B0EEB"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0B0EEB">
              <w:rPr>
                <w:rFonts w:ascii="Times New Roman" w:hAnsi="Times New Roman" w:cs="Times New Roman"/>
                <w:sz w:val="24"/>
                <w:szCs w:val="24"/>
              </w:rPr>
              <w:t>тся</w:t>
            </w:r>
            <w:r w:rsidR="00773603">
              <w:rPr>
                <w:rFonts w:ascii="Times New Roman" w:hAnsi="Times New Roman" w:cs="Times New Roman"/>
                <w:sz w:val="24"/>
                <w:szCs w:val="24"/>
              </w:rPr>
              <w:t xml:space="preserve"> </w:t>
            </w:r>
            <w:r w:rsidR="000B0EEB" w:rsidRPr="000B0EEB">
              <w:rPr>
                <w:rFonts w:ascii="Times New Roman" w:hAnsi="Times New Roman" w:cs="Times New Roman"/>
                <w:sz w:val="24"/>
                <w:szCs w:val="24"/>
              </w:rPr>
              <w:t>плат</w:t>
            </w:r>
            <w:r w:rsidR="000B0EEB">
              <w:rPr>
                <w:rFonts w:ascii="Times New Roman" w:hAnsi="Times New Roman" w:cs="Times New Roman"/>
                <w:sz w:val="24"/>
                <w:szCs w:val="24"/>
              </w:rPr>
              <w:t>а</w:t>
            </w:r>
            <w:r w:rsidR="000B0EEB"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0B0EEB">
              <w:rPr>
                <w:rFonts w:ascii="Times New Roman" w:hAnsi="Times New Roman" w:cs="Times New Roman"/>
                <w:sz w:val="24"/>
                <w:szCs w:val="24"/>
              </w:rPr>
              <w:t>, в соответствии с тарифами, установленными электронной площадкой.</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Получатель платежа: ООО «РТС-тендер»</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 xml:space="preserve">Банковские реквизиты: Филиал «Корпоративный»  ПАО «Совкомбанк» </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БИК 044525360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Расчётный счёт: 40702810512030016362</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Корр. счёт 30101810445250000360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ИНН 7710357167 КПП 773001001</w:t>
            </w:r>
          </w:p>
          <w:p w:rsidR="009F2B67" w:rsidRPr="00E70492"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Основания для отказа в допуске к </w:t>
            </w:r>
            <w:r w:rsidRPr="00E70492">
              <w:rPr>
                <w:rFonts w:ascii="Times New Roman" w:hAnsi="Times New Roman" w:cs="Times New Roman"/>
                <w:sz w:val="24"/>
                <w:szCs w:val="24"/>
              </w:rPr>
              <w:lastRenderedPageBreak/>
              <w:t>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непоступление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w:t>
            </w:r>
            <w:r w:rsidRPr="00E70492">
              <w:rPr>
                <w:rFonts w:ascii="Times New Roman" w:hAnsi="Times New Roman" w:cs="Times New Roman"/>
                <w:sz w:val="24"/>
                <w:szCs w:val="24"/>
              </w:rPr>
              <w:lastRenderedPageBreak/>
              <w:t xml:space="preserve">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Порядок проведения </w:t>
            </w:r>
            <w:r w:rsidRPr="00E70492">
              <w:rPr>
                <w:rFonts w:ascii="Times New Roman" w:hAnsi="Times New Roman" w:cs="Times New Roman"/>
                <w:sz w:val="24"/>
                <w:szCs w:val="24"/>
              </w:rPr>
              <w:lastRenderedPageBreak/>
              <w:t>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Процедура аукциона проводится в день и время, указанные в </w:t>
            </w:r>
            <w:r w:rsidRPr="00E70492">
              <w:rPr>
                <w:rFonts w:ascii="Times New Roman" w:hAnsi="Times New Roman" w:cs="Times New Roman"/>
                <w:sz w:val="24"/>
                <w:szCs w:val="24"/>
              </w:rPr>
              <w:lastRenderedPageBreak/>
              <w:t xml:space="preserve">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проведении аукциона.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В случае поступления предложения</w:t>
            </w:r>
            <w:r w:rsidR="0010507F">
              <w:rPr>
                <w:rFonts w:ascii="Times New Roman" w:hAnsi="Times New Roman" w:cs="Times New Roman"/>
                <w:sz w:val="24"/>
                <w:szCs w:val="24"/>
              </w:rPr>
              <w:t xml:space="preserve"> о</w:t>
            </w:r>
            <w:r w:rsidRPr="00E70492">
              <w:rPr>
                <w:rFonts w:ascii="Times New Roman" w:hAnsi="Times New Roman" w:cs="Times New Roman"/>
                <w:sz w:val="24"/>
                <w:szCs w:val="24"/>
              </w:rPr>
              <w:t xml:space="preserve"> цене, время 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площадки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w:t>
            </w:r>
            <w:r w:rsidR="0010507F">
              <w:rPr>
                <w:rFonts w:ascii="Times New Roman" w:hAnsi="Times New Roman" w:cs="Times New Roman"/>
                <w:sz w:val="24"/>
                <w:szCs w:val="24"/>
              </w:rPr>
              <w:t>т</w:t>
            </w:r>
            <w:r w:rsidRPr="00E70492">
              <w:rPr>
                <w:rFonts w:ascii="Times New Roman" w:hAnsi="Times New Roman" w:cs="Times New Roman"/>
                <w:sz w:val="24"/>
                <w:szCs w:val="24"/>
              </w:rPr>
              <w:t>ве</w:t>
            </w:r>
            <w:r w:rsidR="0010507F">
              <w:rPr>
                <w:rFonts w:ascii="Times New Roman" w:hAnsi="Times New Roman" w:cs="Times New Roman"/>
                <w:sz w:val="24"/>
                <w:szCs w:val="24"/>
              </w:rPr>
              <w:t>рж</w:t>
            </w:r>
            <w:r w:rsidRPr="00E70492">
              <w:rPr>
                <w:rFonts w:ascii="Times New Roman" w:hAnsi="Times New Roman" w:cs="Times New Roman"/>
                <w:sz w:val="24"/>
                <w:szCs w:val="24"/>
              </w:rPr>
              <w:t>дения организатором аукциона итогов аукциона оператор электронной площадки направляет победителю уведомление, содержащее в том числе информацию о победителе.</w:t>
            </w:r>
          </w:p>
        </w:tc>
      </w:tr>
      <w:tr w:rsidR="00FF5F8C" w:rsidTr="0010507F">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CA2BD6">
            <w:pPr>
              <w:pStyle w:val="a3"/>
              <w:rPr>
                <w:rFonts w:ascii="Times New Roman" w:hAnsi="Times New Roman" w:cs="Times New Roman"/>
                <w:sz w:val="24"/>
                <w:szCs w:val="24"/>
              </w:rPr>
            </w:pPr>
            <w:r w:rsidRPr="003A2859">
              <w:rPr>
                <w:rFonts w:ascii="Times New Roman" w:hAnsi="Times New Roman" w:cs="Times New Roman"/>
                <w:sz w:val="24"/>
                <w:szCs w:val="24"/>
              </w:rPr>
              <w:t>Ознакомиться с состоянием земельного участка</w:t>
            </w:r>
            <w:r w:rsidR="006E797C">
              <w:rPr>
                <w:rFonts w:ascii="Times New Roman" w:hAnsi="Times New Roman" w:cs="Times New Roman"/>
                <w:sz w:val="24"/>
                <w:szCs w:val="24"/>
              </w:rPr>
              <w:t xml:space="preserve"> можно </w:t>
            </w:r>
            <w:r w:rsidRPr="003A2859">
              <w:rPr>
                <w:rFonts w:ascii="Times New Roman" w:hAnsi="Times New Roman" w:cs="Times New Roman"/>
                <w:sz w:val="24"/>
                <w:szCs w:val="24"/>
              </w:rPr>
              <w:t xml:space="preserve">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3B0656">
              <w:rPr>
                <w:rFonts w:ascii="Times New Roman" w:hAnsi="Times New Roman" w:cs="Times New Roman"/>
                <w:sz w:val="24"/>
                <w:szCs w:val="24"/>
              </w:rPr>
              <w:t>13 сентября</w:t>
            </w:r>
            <w:r w:rsidR="006E797C">
              <w:rPr>
                <w:rFonts w:ascii="Times New Roman" w:hAnsi="Times New Roman" w:cs="Times New Roman"/>
                <w:sz w:val="24"/>
                <w:szCs w:val="24"/>
              </w:rPr>
              <w:t xml:space="preserve"> </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по </w:t>
            </w:r>
            <w:r w:rsidR="003B0656">
              <w:rPr>
                <w:rFonts w:ascii="Times New Roman" w:hAnsi="Times New Roman" w:cs="Times New Roman"/>
                <w:sz w:val="24"/>
                <w:szCs w:val="24"/>
              </w:rPr>
              <w:t>09 октября</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года</w:t>
            </w:r>
          </w:p>
        </w:tc>
      </w:tr>
    </w:tbl>
    <w:p w:rsidR="00773603" w:rsidRDefault="00773603" w:rsidP="00F9560B">
      <w:pPr>
        <w:pStyle w:val="a3"/>
        <w:rPr>
          <w:rFonts w:ascii="Times New Roman" w:hAnsi="Times New Roman" w:cs="Times New Roman"/>
          <w:b/>
          <w:sz w:val="28"/>
          <w:szCs w:val="28"/>
        </w:rPr>
      </w:pPr>
    </w:p>
    <w:sectPr w:rsidR="00773603" w:rsidSect="00D6643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788"/>
    <w:rsid w:val="00023908"/>
    <w:rsid w:val="00047D82"/>
    <w:rsid w:val="000542BA"/>
    <w:rsid w:val="00076C50"/>
    <w:rsid w:val="000B0EEB"/>
    <w:rsid w:val="000B3542"/>
    <w:rsid w:val="000C6B46"/>
    <w:rsid w:val="0010507F"/>
    <w:rsid w:val="00114453"/>
    <w:rsid w:val="00124A58"/>
    <w:rsid w:val="00175F09"/>
    <w:rsid w:val="001B5290"/>
    <w:rsid w:val="001E7B5D"/>
    <w:rsid w:val="0020217A"/>
    <w:rsid w:val="0021603F"/>
    <w:rsid w:val="00231A87"/>
    <w:rsid w:val="002323AB"/>
    <w:rsid w:val="002714B6"/>
    <w:rsid w:val="002F1AB3"/>
    <w:rsid w:val="0030006A"/>
    <w:rsid w:val="00333CF0"/>
    <w:rsid w:val="00337156"/>
    <w:rsid w:val="00376B5B"/>
    <w:rsid w:val="0038332F"/>
    <w:rsid w:val="003902CF"/>
    <w:rsid w:val="003A2859"/>
    <w:rsid w:val="003A599D"/>
    <w:rsid w:val="003B0656"/>
    <w:rsid w:val="003D0F2A"/>
    <w:rsid w:val="003E7066"/>
    <w:rsid w:val="00464882"/>
    <w:rsid w:val="00471C14"/>
    <w:rsid w:val="004C3015"/>
    <w:rsid w:val="004C3BA0"/>
    <w:rsid w:val="00560BF9"/>
    <w:rsid w:val="005623EF"/>
    <w:rsid w:val="0059448D"/>
    <w:rsid w:val="005A0408"/>
    <w:rsid w:val="005C0DBF"/>
    <w:rsid w:val="005E00B0"/>
    <w:rsid w:val="005E5BD2"/>
    <w:rsid w:val="005E6B1C"/>
    <w:rsid w:val="0061741B"/>
    <w:rsid w:val="0063426B"/>
    <w:rsid w:val="00663D68"/>
    <w:rsid w:val="00687D54"/>
    <w:rsid w:val="006B00C5"/>
    <w:rsid w:val="006C2FB1"/>
    <w:rsid w:val="006E797C"/>
    <w:rsid w:val="0071098A"/>
    <w:rsid w:val="00717148"/>
    <w:rsid w:val="00730898"/>
    <w:rsid w:val="007401C5"/>
    <w:rsid w:val="00773603"/>
    <w:rsid w:val="007829CD"/>
    <w:rsid w:val="00786AD3"/>
    <w:rsid w:val="00786F67"/>
    <w:rsid w:val="007B415B"/>
    <w:rsid w:val="007F3921"/>
    <w:rsid w:val="00820DDA"/>
    <w:rsid w:val="008809C5"/>
    <w:rsid w:val="00882DE7"/>
    <w:rsid w:val="008A0BFC"/>
    <w:rsid w:val="008C340E"/>
    <w:rsid w:val="008C6364"/>
    <w:rsid w:val="008F401A"/>
    <w:rsid w:val="00914646"/>
    <w:rsid w:val="009456CD"/>
    <w:rsid w:val="009730A0"/>
    <w:rsid w:val="00990426"/>
    <w:rsid w:val="00991788"/>
    <w:rsid w:val="009F2B67"/>
    <w:rsid w:val="00A4725C"/>
    <w:rsid w:val="00A57A70"/>
    <w:rsid w:val="00A83609"/>
    <w:rsid w:val="00B24D73"/>
    <w:rsid w:val="00B43E0E"/>
    <w:rsid w:val="00B74041"/>
    <w:rsid w:val="00B7675D"/>
    <w:rsid w:val="00B9579C"/>
    <w:rsid w:val="00C05E6F"/>
    <w:rsid w:val="00C50370"/>
    <w:rsid w:val="00C7065E"/>
    <w:rsid w:val="00C81C93"/>
    <w:rsid w:val="00C87684"/>
    <w:rsid w:val="00CA2BD6"/>
    <w:rsid w:val="00CB1878"/>
    <w:rsid w:val="00CC35B5"/>
    <w:rsid w:val="00D06B5C"/>
    <w:rsid w:val="00D337BD"/>
    <w:rsid w:val="00D55305"/>
    <w:rsid w:val="00D56767"/>
    <w:rsid w:val="00D57A62"/>
    <w:rsid w:val="00D639D4"/>
    <w:rsid w:val="00D6643A"/>
    <w:rsid w:val="00DE1F47"/>
    <w:rsid w:val="00DF4FDF"/>
    <w:rsid w:val="00E06F0C"/>
    <w:rsid w:val="00E70492"/>
    <w:rsid w:val="00ED764B"/>
    <w:rsid w:val="00F6312E"/>
    <w:rsid w:val="00F66C21"/>
    <w:rsid w:val="00F9560B"/>
    <w:rsid w:val="00FC3E0E"/>
    <w:rsid w:val="00FE7578"/>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styleId="ae">
    <w:name w:val="Emphasis"/>
    <w:basedOn w:val="a0"/>
    <w:qFormat/>
    <w:rsid w:val="007829CD"/>
    <w:rPr>
      <w:i/>
      <w:iCs/>
    </w:rPr>
  </w:style>
  <w:style w:type="paragraph" w:customStyle="1" w:styleId="af">
    <w:name w:val="Таблицы (моноширинный)"/>
    <w:basedOn w:val="a"/>
    <w:next w:val="a"/>
    <w:uiPriority w:val="99"/>
    <w:rsid w:val="00231A87"/>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character" w:customStyle="1" w:styleId="2">
    <w:name w:val="Основной текст (2)_"/>
    <w:basedOn w:val="a0"/>
    <w:link w:val="20"/>
    <w:rsid w:val="003A599D"/>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3A599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3A599D"/>
    <w:pPr>
      <w:widowControl w:val="0"/>
      <w:shd w:val="clear" w:color="auto" w:fill="FFFFFF"/>
      <w:spacing w:after="180" w:line="0" w:lineRule="atLeas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951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gornovokub@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4360</Words>
  <Characters>24852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3</cp:revision>
  <cp:lastPrinted>2023-05-25T14:35:00Z</cp:lastPrinted>
  <dcterms:created xsi:type="dcterms:W3CDTF">2023-09-10T18:07:00Z</dcterms:created>
  <dcterms:modified xsi:type="dcterms:W3CDTF">2023-09-12T14:33:00Z</dcterms:modified>
</cp:coreProperties>
</file>